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rFonts w:ascii="Calibri" w:cs="Calibri" w:eastAsia="Calibri" w:hAnsi="Calibri"/>
          <w:b/>
          <w:bCs/>
          <w:color w:val="1A3A5C"/>
          <w:sz w:val="36"/>
          <w:szCs w:val="36"/>
        </w:rPr>
        <w:t xml:space="preserve">COMPASS UK</w:t>
      </w:r>
      <w:r>
        <w:rPr>
          <w:rFonts w:ascii="Calibri" w:cs="Calibri" w:eastAsia="Calibri" w:hAnsi="Calibri"/>
          <w:color w:val="cccccc"/>
          <w:sz w:val="36"/>
          <w:szCs w:val="36"/>
        </w:rPr>
        <w:t xml:space="preserve">  |  </w:t>
      </w:r>
      <w:r>
        <w:rPr>
          <w:rFonts w:ascii="Calibri" w:cs="Calibri" w:eastAsia="Calibri" w:hAnsi="Calibri"/>
          <w:color w:val="888888"/>
          <w:sz w:val="20"/>
          <w:szCs w:val="20"/>
        </w:rPr>
        <w:t xml:space="preserve">NAZAR UK EXPERT CONSULT LTD</w:t>
      </w:r>
    </w:p>
    <w:p>
      <w:pPr>
        <w:pBdr>
          <w:bottom w:val="single" w:color="C9A84C" w:sz="6" w:space="1"/>
        </w:pBdr>
        <w:spacing w:after="40" w:before="40"/>
      </w:pPr>
    </w:p>
    <w:p>
      <w:pPr>
        <w:spacing w:after="60" w:before="200"/>
        <w:jc w:val="center"/>
      </w:pPr>
      <w:r>
        <w:rPr>
          <w:rFonts w:ascii="Calibri" w:cs="Calibri" w:eastAsia="Calibri" w:hAnsi="Calibri"/>
          <w:b/>
          <w:bCs/>
          <w:color w:val="1A3A5C"/>
          <w:sz w:val="40"/>
          <w:szCs w:val="40"/>
        </w:rPr>
        <w:t xml:space="preserve">SCIENTIFIC FOUNDATION</w:t>
      </w:r>
    </w:p>
    <w:p>
      <w:pPr>
        <w:spacing w:after="40"/>
        <w:jc w:val="center"/>
      </w:pPr>
      <w:r>
        <w:rPr>
          <w:rFonts w:ascii="Calibri" w:cs="Calibri" w:eastAsia="Calibri" w:hAnsi="Calibri"/>
          <w:i/>
          <w:iCs/>
          <w:color w:val="C9A84C"/>
          <w:sz w:val="24"/>
          <w:szCs w:val="24"/>
        </w:rPr>
        <w:t xml:space="preserve">Evidence Base for Compass UK Career Assessment Platform</w:t>
      </w:r>
    </w:p>
    <w:p>
      <w:pPr>
        <w:spacing w:after="200"/>
        <w:jc w:val="center"/>
      </w:pPr>
      <w:r>
        <w:rPr>
          <w:rFonts w:ascii="Calibri" w:cs="Calibri" w:eastAsia="Calibri" w:hAnsi="Calibri"/>
          <w:color w:val="888888"/>
          <w:sz w:val="18"/>
          <w:szCs w:val="18"/>
        </w:rPr>
        <w:t xml:space="preserve">Document Version 1.0  |  Compass UK  |  2026</w:t>
      </w:r>
    </w:p>
    <w:p>
      <w:pPr>
        <w:pBdr>
          <w:bottom w:val="single" w:color="C9A84C" w:sz="6" w:space="1"/>
        </w:pBdr>
        <w:spacing w:after="40" w:before="40"/>
      </w:pPr>
    </w:p>
    <w:p>
      <w:pPr>
        <w:spacing w:before="20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9A84C" w:sz="1"/>
              <w:left w:val="single" w:color="C9A84C" w:sz="1"/>
              <w:bottom w:val="single" w:color="C9A84C" w:sz="1"/>
              <w:right w:val="single" w:color="C9A84C" w:sz="1"/>
            </w:tcBorders>
            <w:shd w:fill="FFF8E1" w:val="clear"/>
            <w:tcMar>
              <w:top w:type="dxa" w:w="120"/>
              <w:left w:type="dxa" w:w="200"/>
              <w:bottom w:type="dxa" w:w="120"/>
              <w:right w:type="dxa" w:w="200"/>
            </w:tcMar>
          </w:tcPr>
          <w:p>
            <w:pPr>
              <w:spacing w:after="80" w:before="0"/>
            </w:pPr>
            <w:r>
              <w:rPr>
                <w:rFonts w:ascii="Calibri" w:cs="Calibri" w:eastAsia="Calibri" w:hAnsi="Calibri"/>
                <w:b/>
                <w:bCs/>
                <w:color w:val="1A3A5C"/>
                <w:sz w:val="22"/>
                <w:szCs w:val="22"/>
              </w:rPr>
              <w:t xml:space="preserve">⚠️  Scope of This Document</w:t>
            </w:r>
          </w:p>
          <w:p>
            <w:pPr>
              <w:spacing w:after="20" w:before="20"/>
            </w:pPr>
            <w:r>
              <w:rPr>
                <w:rFonts w:ascii="Calibri" w:cs="Calibri" w:eastAsia="Calibri" w:hAnsi="Calibri"/>
                <w:color w:val="333333"/>
                <w:sz w:val="20"/>
                <w:szCs w:val="20"/>
              </w:rPr>
              <w:t xml:space="preserve">This document describes the scientific and academic foundations of the psychometric instruments</w:t>
            </w:r>
          </w:p>
          <w:p>
            <w:pPr>
              <w:spacing w:after="20" w:before="20"/>
            </w:pPr>
            <w:r>
              <w:rPr>
                <w:rFonts w:ascii="Calibri" w:cs="Calibri" w:eastAsia="Calibri" w:hAnsi="Calibri"/>
                <w:color w:val="333333"/>
                <w:sz w:val="20"/>
                <w:szCs w:val="20"/>
              </w:rPr>
              <w:t xml:space="preserve">used in the Compass UK assessment platform. It provides evidence of validity, reliability, and</w:t>
            </w:r>
          </w:p>
          <w:p>
            <w:pPr>
              <w:spacing w:after="20" w:before="20"/>
            </w:pPr>
            <w:r>
              <w:rPr>
                <w:rFonts w:ascii="Calibri" w:cs="Calibri" w:eastAsia="Calibri" w:hAnsi="Calibri"/>
                <w:color w:val="333333"/>
                <w:sz w:val="20"/>
                <w:szCs w:val="20"/>
              </w:rPr>
              <w:t xml:space="preserve">academic provenance for each instrument.</w:t>
            </w:r>
          </w:p>
          <w:p>
            <w:pPr>
              <w:spacing w:after="20" w:before="20"/>
            </w:pPr>
            <w:r>
              <w:rPr>
                <w:rFonts w:ascii="Calibri" w:cs="Calibri" w:eastAsia="Calibri" w:hAnsi="Calibri"/>
                <w:color w:val="333333"/>
                <w:sz w:val="20"/>
                <w:szCs w:val="20"/>
              </w:rPr>
              <w:t xml:space="preserve"/>
            </w:r>
          </w:p>
          <w:p>
            <w:pPr>
              <w:spacing w:after="20" w:before="20"/>
            </w:pPr>
            <w:r>
              <w:rPr>
                <w:rFonts w:ascii="Calibri" w:cs="Calibri" w:eastAsia="Calibri" w:hAnsi="Calibri"/>
                <w:color w:val="333333"/>
                <w:sz w:val="20"/>
                <w:szCs w:val="20"/>
              </w:rPr>
              <w:t xml:space="preserve">This document does NOT disclose: specific assessment items, scoring algorithms, interpretive</w:t>
            </w:r>
          </w:p>
          <w:p>
            <w:pPr>
              <w:spacing w:after="20" w:before="20"/>
            </w:pPr>
            <w:r>
              <w:rPr>
                <w:rFonts w:ascii="Calibri" w:cs="Calibri" w:eastAsia="Calibri" w:hAnsi="Calibri"/>
                <w:color w:val="333333"/>
                <w:sz w:val="20"/>
                <w:szCs w:val="20"/>
              </w:rPr>
              <w:t xml:space="preserve">frameworks, or any proprietary methodology developed by Compass UK / NAZAR UK EXPERT</w:t>
            </w:r>
          </w:p>
          <w:p>
            <w:pPr>
              <w:spacing w:after="20" w:before="20"/>
            </w:pPr>
            <w:r>
              <w:rPr>
                <w:rFonts w:ascii="Calibri" w:cs="Calibri" w:eastAsia="Calibri" w:hAnsi="Calibri"/>
                <w:color w:val="333333"/>
                <w:sz w:val="20"/>
                <w:szCs w:val="20"/>
              </w:rPr>
              <w:t xml:space="preserve">CONSULT LTD. These constitute confidential intellectual property.</w:t>
            </w:r>
          </w:p>
        </w:tc>
      </w:tr>
    </w:tbl>
    <w:p>
      <w:pPr>
        <w:spacing w:after="120" w:before="400"/>
      </w:pPr>
      <w:r>
        <w:rPr>
          <w:rFonts w:ascii="Calibri" w:cs="Calibri" w:eastAsia="Calibri" w:hAnsi="Calibri"/>
          <w:b/>
          <w:bCs/>
          <w:color w:val="1A3A5C"/>
          <w:sz w:val="32"/>
          <w:szCs w:val="32"/>
        </w:rPr>
        <w:t xml:space="preserve">1. Overview</w:t>
      </w:r>
    </w:p>
    <w:p>
      <w:pPr>
        <w:spacing w:after="60" w:before="60"/>
        <w:jc w:val="left"/>
      </w:pPr>
      <w:r>
        <w:rPr>
          <w:rFonts w:ascii="Calibri" w:cs="Calibri" w:eastAsia="Calibri" w:hAnsi="Calibri"/>
          <w:b w:val="false"/>
          <w:bCs w:val="false"/>
          <w:i w:val="false"/>
          <w:iCs w:val="false"/>
          <w:color w:val="333333"/>
          <w:sz w:val="22"/>
          <w:szCs w:val="22"/>
        </w:rPr>
        <w:t xml:space="preserve">Compass UK uses a multi-instrument career assessment battery designed to provide a comprehensive, science-based understanding of an individual's career direction. Each instrument in the battery is drawn from the peer-reviewed psychometric literature and has been independently validated across diverse populations.</w:t>
      </w:r>
    </w:p>
    <w:p>
      <w:pPr>
        <w:spacing w:after="60" w:before="60"/>
        <w:jc w:val="left"/>
      </w:pPr>
      <w:r>
        <w:rPr>
          <w:rFonts w:ascii="Calibri" w:cs="Calibri" w:eastAsia="Calibri" w:hAnsi="Calibri"/>
          <w:b w:val="false"/>
          <w:bCs w:val="false"/>
          <w:i w:val="false"/>
          <w:iCs w:val="false"/>
          <w:color w:val="333333"/>
          <w:sz w:val="22"/>
          <w:szCs w:val="22"/>
        </w:rPr>
        <w:t xml:space="preserve">The assessment battery measures four distinct but complementary constructs:</w:t>
      </w:r>
    </w:p>
    <w:p>
      <w:pPr>
        <w:spacing w:after="40" w:before="40"/>
        <w:ind w:left="360"/>
      </w:pPr>
      <w:r>
        <w:rPr>
          <w:rFonts w:ascii="Calibri" w:cs="Calibri" w:eastAsia="Calibri" w:hAnsi="Calibri"/>
          <w:color w:val="C9A84C"/>
          <w:sz w:val="22"/>
          <w:szCs w:val="22"/>
        </w:rPr>
        <w:t xml:space="preserve">• </w:t>
      </w:r>
      <w:r>
        <w:rPr>
          <w:rFonts w:ascii="Calibri" w:cs="Calibri" w:eastAsia="Calibri" w:hAnsi="Calibri"/>
          <w:color w:val="333333"/>
          <w:sz w:val="22"/>
          <w:szCs w:val="22"/>
        </w:rPr>
        <w:t xml:space="preserve">Career interests and vocational preferences</w:t>
      </w:r>
    </w:p>
    <w:p>
      <w:pPr>
        <w:spacing w:after="40" w:before="40"/>
        <w:ind w:left="360"/>
      </w:pPr>
      <w:r>
        <w:rPr>
          <w:rFonts w:ascii="Calibri" w:cs="Calibri" w:eastAsia="Calibri" w:hAnsi="Calibri"/>
          <w:color w:val="C9A84C"/>
          <w:sz w:val="22"/>
          <w:szCs w:val="22"/>
        </w:rPr>
        <w:t xml:space="preserve">• </w:t>
      </w:r>
      <w:r>
        <w:rPr>
          <w:rFonts w:ascii="Calibri" w:cs="Calibri" w:eastAsia="Calibri" w:hAnsi="Calibri"/>
          <w:color w:val="333333"/>
          <w:sz w:val="22"/>
          <w:szCs w:val="22"/>
        </w:rPr>
        <w:t xml:space="preserve">Personality traits and working style</w:t>
      </w:r>
    </w:p>
    <w:p>
      <w:pPr>
        <w:spacing w:after="40" w:before="40"/>
        <w:ind w:left="360"/>
      </w:pPr>
      <w:r>
        <w:rPr>
          <w:rFonts w:ascii="Calibri" w:cs="Calibri" w:eastAsia="Calibri" w:hAnsi="Calibri"/>
          <w:color w:val="C9A84C"/>
          <w:sz w:val="22"/>
          <w:szCs w:val="22"/>
        </w:rPr>
        <w:t xml:space="preserve">• </w:t>
      </w:r>
      <w:r>
        <w:rPr>
          <w:rFonts w:ascii="Calibri" w:cs="Calibri" w:eastAsia="Calibri" w:hAnsi="Calibri"/>
          <w:color w:val="333333"/>
          <w:sz w:val="22"/>
          <w:szCs w:val="22"/>
        </w:rPr>
        <w:t xml:space="preserve">Character strengths and natural aptitudes</w:t>
      </w:r>
    </w:p>
    <w:p>
      <w:pPr>
        <w:spacing w:after="40" w:before="40"/>
        <w:ind w:left="360"/>
      </w:pPr>
      <w:r>
        <w:rPr>
          <w:rFonts w:ascii="Calibri" w:cs="Calibri" w:eastAsia="Calibri" w:hAnsi="Calibri"/>
          <w:color w:val="C9A84C"/>
          <w:sz w:val="22"/>
          <w:szCs w:val="22"/>
        </w:rPr>
        <w:t xml:space="preserve">• </w:t>
      </w:r>
      <w:r>
        <w:rPr>
          <w:rFonts w:ascii="Calibri" w:cs="Calibri" w:eastAsia="Calibri" w:hAnsi="Calibri"/>
          <w:color w:val="333333"/>
          <w:sz w:val="22"/>
          <w:szCs w:val="22"/>
        </w:rPr>
        <w:t xml:space="preserve">Work values and occupational needs</w:t>
      </w:r>
    </w:p>
    <w:p>
      <w:pPr>
        <w:spacing w:after="60" w:before="60"/>
        <w:jc w:val="left"/>
      </w:pPr>
      <w:r>
        <w:rPr>
          <w:rFonts w:ascii="Calibri" w:cs="Calibri" w:eastAsia="Calibri" w:hAnsi="Calibri"/>
          <w:b w:val="false"/>
          <w:bCs w:val="false"/>
          <w:i w:val="false"/>
          <w:iCs w:val="false"/>
          <w:color w:val="333333"/>
          <w:sz w:val="22"/>
          <w:szCs w:val="22"/>
        </w:rPr>
        <w:t xml:space="preserve">The combination of these constructs is supported by the Person-Environment (P-E) Fit framework (Holland, 1959; Dawis &amp; Lofquist, 1984) and the integrative career assessment tradition (Rounds &amp; Su, 2014), both of which demonstrate that multi-domain assessment produces more accurate and stable career recommendations than single-instrument approaches.</w:t>
      </w:r>
    </w:p>
    <w:p>
      <w:pPr>
        <w:spacing w:after="120" w:before="400"/>
      </w:pPr>
      <w:r>
        <w:rPr>
          <w:rFonts w:ascii="Calibri" w:cs="Calibri" w:eastAsia="Calibri" w:hAnsi="Calibri"/>
          <w:b/>
          <w:bCs/>
          <w:color w:val="1A3A5C"/>
          <w:sz w:val="32"/>
          <w:szCs w:val="32"/>
        </w:rPr>
        <w:t xml:space="preserve">2. Instrument 1: Vocational Interest Assessment</w:t>
      </w:r>
    </w:p>
    <w:p>
      <w:pPr>
        <w:spacing w:after="100" w:before="280"/>
      </w:pPr>
      <w:r>
        <w:rPr>
          <w:rFonts w:ascii="Calibri" w:cs="Calibri" w:eastAsia="Calibri" w:hAnsi="Calibri"/>
          <w:b/>
          <w:bCs/>
          <w:color w:val="1A3A5C"/>
          <w:sz w:val="26"/>
          <w:szCs w:val="26"/>
        </w:rPr>
        <w:t xml:space="preserve">Holland Code (RIASEC)</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9A84C" w:sz="1"/>
              <w:left w:val="single" w:color="C9A84C" w:sz="1"/>
              <w:bottom w:val="single" w:color="C9A84C" w:sz="1"/>
              <w:right w:val="single" w:color="C9A84C" w:sz="1"/>
            </w:tcBorders>
            <w:shd w:fill="F5F0E8" w:val="clear"/>
            <w:tcMar>
              <w:top w:type="dxa" w:w="120"/>
              <w:left w:type="dxa" w:w="200"/>
              <w:bottom w:type="dxa" w:w="120"/>
              <w:right w:type="dxa" w:w="200"/>
            </w:tcMar>
          </w:tcPr>
          <w:p>
            <w:pPr>
              <w:spacing w:after="80" w:before="0"/>
            </w:pPr>
            <w:r>
              <w:rPr>
                <w:rFonts w:ascii="Calibri" w:cs="Calibri" w:eastAsia="Calibri" w:hAnsi="Calibri"/>
                <w:b/>
                <w:bCs/>
                <w:color w:val="1A3A5C"/>
                <w:sz w:val="22"/>
                <w:szCs w:val="22"/>
              </w:rPr>
              <w:t xml:space="preserve">Instrument Summary</w:t>
            </w:r>
          </w:p>
          <w:p>
            <w:pPr>
              <w:spacing w:after="20" w:before="20"/>
            </w:pPr>
            <w:r>
              <w:rPr>
                <w:rFonts w:ascii="Calibri" w:cs="Calibri" w:eastAsia="Calibri" w:hAnsi="Calibri"/>
                <w:color w:val="333333"/>
                <w:sz w:val="20"/>
                <w:szCs w:val="20"/>
              </w:rPr>
              <w:t xml:space="preserve">Framework:    Holland's RIASEC Theory of Vocational Personalities and Work Environments</w:t>
            </w:r>
          </w:p>
          <w:p>
            <w:pPr>
              <w:spacing w:after="20" w:before="20"/>
            </w:pPr>
            <w:r>
              <w:rPr>
                <w:rFonts w:ascii="Calibri" w:cs="Calibri" w:eastAsia="Calibri" w:hAnsi="Calibri"/>
                <w:color w:val="333333"/>
                <w:sz w:val="20"/>
                <w:szCs w:val="20"/>
              </w:rPr>
              <w:t xml:space="preserve">Origin:       John L. Holland, Johns Hopkins University, 1959</w:t>
            </w:r>
          </w:p>
          <w:p>
            <w:pPr>
              <w:spacing w:after="20" w:before="20"/>
            </w:pPr>
            <w:r>
              <w:rPr>
                <w:rFonts w:ascii="Calibri" w:cs="Calibri" w:eastAsia="Calibri" w:hAnsi="Calibri"/>
                <w:color w:val="333333"/>
                <w:sz w:val="20"/>
                <w:szCs w:val="20"/>
              </w:rPr>
              <w:t xml:space="preserve">In use since: 1959 (65+ years of research)</w:t>
            </w:r>
          </w:p>
          <w:p>
            <w:pPr>
              <w:spacing w:after="20" w:before="20"/>
            </w:pPr>
            <w:r>
              <w:rPr>
                <w:rFonts w:ascii="Calibri" w:cs="Calibri" w:eastAsia="Calibri" w:hAnsi="Calibri"/>
                <w:color w:val="333333"/>
                <w:sz w:val="20"/>
                <w:szCs w:val="20"/>
              </w:rPr>
              <w:t xml:space="preserve">Used by:      U.S. Department of Labor (O*NET), major university career centres worldwide</w:t>
            </w:r>
          </w:p>
        </w:tc>
      </w:tr>
    </w:tbl>
    <w:p>
      <w:pPr>
        <w:spacing w:before="160"/>
      </w:pPr>
    </w:p>
    <w:p>
      <w:pPr>
        <w:spacing w:after="80" w:before="180"/>
      </w:pPr>
      <w:r>
        <w:rPr>
          <w:rFonts w:ascii="Calibri" w:cs="Calibri" w:eastAsia="Calibri" w:hAnsi="Calibri"/>
          <w:b/>
          <w:bCs/>
          <w:color w:val="8B6914"/>
          <w:sz w:val="22"/>
          <w:szCs w:val="22"/>
        </w:rPr>
        <w:t xml:space="preserve">Academic Provenance</w:t>
      </w:r>
    </w:p>
    <w:p>
      <w:pPr>
        <w:spacing w:after="60" w:before="60"/>
        <w:jc w:val="left"/>
      </w:pPr>
      <w:r>
        <w:rPr>
          <w:rFonts w:ascii="Calibri" w:cs="Calibri" w:eastAsia="Calibri" w:hAnsi="Calibri"/>
          <w:b w:val="false"/>
          <w:bCs w:val="false"/>
          <w:i w:val="false"/>
          <w:iCs w:val="false"/>
          <w:color w:val="333333"/>
          <w:sz w:val="22"/>
          <w:szCs w:val="22"/>
        </w:rPr>
        <w:t xml:space="preserve">The Holland Code framework, formally known as RIASEC (Realistic, Investigative, Artistic, Social, Enterprising, Conventional), was developed by psychologist John L. Holland at Johns Hopkins University. It is the most widely used career interest framework in the world, underpinning the U.S. Department of Labor's O*NET occupational database which classifies over 900 occupations by Holland type.</w:t>
      </w:r>
    </w:p>
    <w:p>
      <w:pPr>
        <w:spacing w:after="80" w:before="180"/>
      </w:pPr>
      <w:r>
        <w:rPr>
          <w:rFonts w:ascii="Calibri" w:cs="Calibri" w:eastAsia="Calibri" w:hAnsi="Calibri"/>
          <w:b/>
          <w:bCs/>
          <w:color w:val="8B6914"/>
          <w:sz w:val="22"/>
          <w:szCs w:val="22"/>
        </w:rPr>
        <w:t xml:space="preserve">Validity Evidence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2000"/>
        <w:gridCol w:w="4026"/>
      </w:tblGrid>
      <w:tr>
        <w:tc>
          <w:tcPr>
            <w:tcW w:type="dxa" w:w="3000"/>
            <w:tcBorders>
              <w:top w:val="single" w:color="e8e4dc" w:sz="1"/>
              <w:left w:val="none" w:color="FFFFFF" w:sz="0"/>
              <w:bottom w:val="single" w:color="e8e4dc" w:sz="1"/>
              <w:right w:val="single" w:color="e8e4dc" w:sz="1"/>
            </w:tcBorders>
            <w:shd w:fill="F5F0E8" w:val="clear"/>
            <w:tcMar>
              <w:top w:type="dxa" w:w="80"/>
              <w:left w:type="dxa" w:w="120"/>
              <w:bottom w:type="dxa" w:w="80"/>
              <w:right w:type="dxa" w:w="120"/>
            </w:tcMar>
          </w:tcPr>
          <w:p>
            <w:r>
              <w:rPr>
                <w:rFonts w:ascii="Calibri" w:cs="Calibri" w:eastAsia="Calibri" w:hAnsi="Calibri"/>
                <w:b/>
                <w:bCs/>
                <w:color w:val="1A3A5C"/>
                <w:sz w:val="20"/>
                <w:szCs w:val="20"/>
              </w:rPr>
              <w:t xml:space="preserve">Interest–Performance</w:t>
            </w:r>
          </w:p>
        </w:tc>
        <w:tc>
          <w:tcPr>
            <w:tcW w:type="dxa" w:w="2000"/>
            <w:tcBorders>
              <w:top w:val="single" w:color="e8e4dc" w:sz="1"/>
              <w:left w:val="none" w:color="FFFFFF" w:sz="0"/>
              <w:bottom w:val="single" w:color="e8e4dc" w:sz="1"/>
              <w:right w:val="single" w:color="e8e4dc" w:sz="1"/>
            </w:tcBorders>
            <w:tcMar>
              <w:top w:type="dxa" w:w="80"/>
              <w:left w:type="dxa" w:w="120"/>
              <w:bottom w:type="dxa" w:w="80"/>
              <w:right w:type="dxa" w:w="120"/>
            </w:tcMar>
          </w:tcPr>
          <w:p>
            <w:pPr>
              <w:jc w:val="center"/>
            </w:pPr>
            <w:r>
              <w:rPr>
                <w:rFonts w:ascii="Calibri" w:cs="Calibri" w:eastAsia="Calibri" w:hAnsi="Calibri"/>
                <w:b/>
                <w:bCs/>
                <w:color w:val="C9A84C"/>
                <w:sz w:val="24"/>
                <w:szCs w:val="24"/>
              </w:rPr>
              <w:t xml:space="preserve">r = .32</w:t>
            </w:r>
          </w:p>
        </w:tc>
        <w:tc>
          <w:tcPr>
            <w:tcW w:type="dxa" w:w="4026"/>
            <w:tcBorders>
              <w:top w:val="single" w:color="e8e4dc" w:sz="1"/>
              <w:left w:val="none" w:color="FFFFFF" w:sz="0"/>
              <w:bottom w:val="single" w:color="e8e4dc" w:sz="1"/>
              <w:right w:val="none" w:color="FFFFFF" w:sz="0"/>
            </w:tcBorders>
            <w:tcMar>
              <w:top w:type="dxa" w:w="80"/>
              <w:left w:type="dxa" w:w="120"/>
              <w:bottom w:type="dxa" w:w="80"/>
              <w:right w:type="dxa" w:w="120"/>
            </w:tcMar>
          </w:tcPr>
          <w:p>
            <w:r>
              <w:rPr>
                <w:rFonts w:ascii="Calibri" w:cs="Calibri" w:eastAsia="Calibri" w:hAnsi="Calibri"/>
                <w:i/>
                <w:iCs/>
                <w:color w:val="555555"/>
                <w:sz w:val="18"/>
                <w:szCs w:val="18"/>
              </w:rPr>
              <w:t xml:space="preserve">Meta-analysis, Nye et al., 2017 (k=60 studies)</w:t>
            </w:r>
          </w:p>
        </w:tc>
      </w:tr>
      <w:tr>
        <w:tc>
          <w:tcPr>
            <w:tcW w:type="dxa" w:w="3000"/>
            <w:tcBorders>
              <w:top w:val="single" w:color="e8e4dc" w:sz="1"/>
              <w:left w:val="none" w:color="FFFFFF" w:sz="0"/>
              <w:bottom w:val="single" w:color="e8e4dc" w:sz="1"/>
              <w:right w:val="single" w:color="e8e4dc" w:sz="1"/>
            </w:tcBorders>
            <w:shd w:fill="F5F0E8" w:val="clear"/>
            <w:tcMar>
              <w:top w:type="dxa" w:w="80"/>
              <w:left w:type="dxa" w:w="120"/>
              <w:bottom w:type="dxa" w:w="80"/>
              <w:right w:type="dxa" w:w="120"/>
            </w:tcMar>
          </w:tcPr>
          <w:p>
            <w:r>
              <w:rPr>
                <w:rFonts w:ascii="Calibri" w:cs="Calibri" w:eastAsia="Calibri" w:hAnsi="Calibri"/>
                <w:b/>
                <w:bCs/>
                <w:color w:val="1A3A5C"/>
                <w:sz w:val="20"/>
                <w:szCs w:val="20"/>
              </w:rPr>
              <w:t xml:space="preserve">Interest–Persistence</w:t>
            </w:r>
          </w:p>
        </w:tc>
        <w:tc>
          <w:tcPr>
            <w:tcW w:type="dxa" w:w="2000"/>
            <w:tcBorders>
              <w:top w:val="single" w:color="e8e4dc" w:sz="1"/>
              <w:left w:val="none" w:color="FFFFFF" w:sz="0"/>
              <w:bottom w:val="single" w:color="e8e4dc" w:sz="1"/>
              <w:right w:val="single" w:color="e8e4dc" w:sz="1"/>
            </w:tcBorders>
            <w:tcMar>
              <w:top w:type="dxa" w:w="80"/>
              <w:left w:type="dxa" w:w="120"/>
              <w:bottom w:type="dxa" w:w="80"/>
              <w:right w:type="dxa" w:w="120"/>
            </w:tcMar>
          </w:tcPr>
          <w:p>
            <w:pPr>
              <w:jc w:val="center"/>
            </w:pPr>
            <w:r>
              <w:rPr>
                <w:rFonts w:ascii="Calibri" w:cs="Calibri" w:eastAsia="Calibri" w:hAnsi="Calibri"/>
                <w:b/>
                <w:bCs/>
                <w:color w:val="C9A84C"/>
                <w:sz w:val="24"/>
                <w:szCs w:val="24"/>
              </w:rPr>
              <w:t xml:space="preserve">r = .36</w:t>
            </w:r>
          </w:p>
        </w:tc>
        <w:tc>
          <w:tcPr>
            <w:tcW w:type="dxa" w:w="4026"/>
            <w:tcBorders>
              <w:top w:val="single" w:color="e8e4dc" w:sz="1"/>
              <w:left w:val="none" w:color="FFFFFF" w:sz="0"/>
              <w:bottom w:val="single" w:color="e8e4dc" w:sz="1"/>
              <w:right w:val="none" w:color="FFFFFF" w:sz="0"/>
            </w:tcBorders>
            <w:tcMar>
              <w:top w:type="dxa" w:w="80"/>
              <w:left w:type="dxa" w:w="120"/>
              <w:bottom w:type="dxa" w:w="80"/>
              <w:right w:type="dxa" w:w="120"/>
            </w:tcMar>
          </w:tcPr>
          <w:p>
            <w:r>
              <w:rPr>
                <w:rFonts w:ascii="Calibri" w:cs="Calibri" w:eastAsia="Calibri" w:hAnsi="Calibri"/>
                <w:i/>
                <w:iCs/>
                <w:color w:val="555555"/>
                <w:sz w:val="18"/>
                <w:szCs w:val="18"/>
              </w:rPr>
              <w:t xml:space="preserve">Longitudinal evidence, Rounds &amp; Su, 2014</w:t>
            </w:r>
          </w:p>
        </w:tc>
      </w:tr>
      <w:tr>
        <w:tc>
          <w:tcPr>
            <w:tcW w:type="dxa" w:w="3000"/>
            <w:tcBorders>
              <w:top w:val="single" w:color="e8e4dc" w:sz="1"/>
              <w:left w:val="none" w:color="FFFFFF" w:sz="0"/>
              <w:bottom w:val="single" w:color="e8e4dc" w:sz="1"/>
              <w:right w:val="single" w:color="e8e4dc" w:sz="1"/>
            </w:tcBorders>
            <w:shd w:fill="F5F0E8" w:val="clear"/>
            <w:tcMar>
              <w:top w:type="dxa" w:w="80"/>
              <w:left w:type="dxa" w:w="120"/>
              <w:bottom w:type="dxa" w:w="80"/>
              <w:right w:type="dxa" w:w="120"/>
            </w:tcMar>
          </w:tcPr>
          <w:p>
            <w:r>
              <w:rPr>
                <w:rFonts w:ascii="Calibri" w:cs="Calibri" w:eastAsia="Calibri" w:hAnsi="Calibri"/>
                <w:b/>
                <w:bCs/>
                <w:color w:val="1A3A5C"/>
                <w:sz w:val="20"/>
                <w:szCs w:val="20"/>
              </w:rPr>
              <w:t xml:space="preserve">Test–Retest Reliability</w:t>
            </w:r>
          </w:p>
        </w:tc>
        <w:tc>
          <w:tcPr>
            <w:tcW w:type="dxa" w:w="2000"/>
            <w:tcBorders>
              <w:top w:val="single" w:color="e8e4dc" w:sz="1"/>
              <w:left w:val="none" w:color="FFFFFF" w:sz="0"/>
              <w:bottom w:val="single" w:color="e8e4dc" w:sz="1"/>
              <w:right w:val="single" w:color="e8e4dc" w:sz="1"/>
            </w:tcBorders>
            <w:tcMar>
              <w:top w:type="dxa" w:w="80"/>
              <w:left w:type="dxa" w:w="120"/>
              <w:bottom w:type="dxa" w:w="80"/>
              <w:right w:type="dxa" w:w="120"/>
            </w:tcMar>
          </w:tcPr>
          <w:p>
            <w:pPr>
              <w:jc w:val="center"/>
            </w:pPr>
            <w:r>
              <w:rPr>
                <w:rFonts w:ascii="Calibri" w:cs="Calibri" w:eastAsia="Calibri" w:hAnsi="Calibri"/>
                <w:b/>
                <w:bCs/>
                <w:color w:val="C9A84C"/>
                <w:sz w:val="24"/>
                <w:szCs w:val="24"/>
              </w:rPr>
              <w:t xml:space="preserve">.86 – .92</w:t>
            </w:r>
          </w:p>
        </w:tc>
        <w:tc>
          <w:tcPr>
            <w:tcW w:type="dxa" w:w="4026"/>
            <w:tcBorders>
              <w:top w:val="single" w:color="e8e4dc" w:sz="1"/>
              <w:left w:val="none" w:color="FFFFFF" w:sz="0"/>
              <w:bottom w:val="single" w:color="e8e4dc" w:sz="1"/>
              <w:right w:val="none" w:color="FFFFFF" w:sz="0"/>
            </w:tcBorders>
            <w:tcMar>
              <w:top w:type="dxa" w:w="80"/>
              <w:left w:type="dxa" w:w="120"/>
              <w:bottom w:type="dxa" w:w="80"/>
              <w:right w:type="dxa" w:w="120"/>
            </w:tcMar>
          </w:tcPr>
          <w:p>
            <w:r>
              <w:rPr>
                <w:rFonts w:ascii="Calibri" w:cs="Calibri" w:eastAsia="Calibri" w:hAnsi="Calibri"/>
                <w:i/>
                <w:iCs/>
                <w:color w:val="555555"/>
                <w:sz w:val="18"/>
                <w:szCs w:val="18"/>
              </w:rPr>
              <w:t xml:space="preserve">Stable across 4-week to 12-week intervals</w:t>
            </w:r>
          </w:p>
        </w:tc>
      </w:tr>
      <w:tr>
        <w:tc>
          <w:tcPr>
            <w:tcW w:type="dxa" w:w="3000"/>
            <w:tcBorders>
              <w:top w:val="single" w:color="e8e4dc" w:sz="1"/>
              <w:left w:val="none" w:color="FFFFFF" w:sz="0"/>
              <w:bottom w:val="single" w:color="e8e4dc" w:sz="1"/>
              <w:right w:val="single" w:color="e8e4dc" w:sz="1"/>
            </w:tcBorders>
            <w:shd w:fill="F5F0E8" w:val="clear"/>
            <w:tcMar>
              <w:top w:type="dxa" w:w="80"/>
              <w:left w:type="dxa" w:w="120"/>
              <w:bottom w:type="dxa" w:w="80"/>
              <w:right w:type="dxa" w:w="120"/>
            </w:tcMar>
          </w:tcPr>
          <w:p>
            <w:r>
              <w:rPr>
                <w:rFonts w:ascii="Calibri" w:cs="Calibri" w:eastAsia="Calibri" w:hAnsi="Calibri"/>
                <w:b/>
                <w:bCs/>
                <w:color w:val="1A3A5C"/>
                <w:sz w:val="20"/>
                <w:szCs w:val="20"/>
              </w:rPr>
              <w:t xml:space="preserve">Cross-cultural validity</w:t>
            </w:r>
          </w:p>
        </w:tc>
        <w:tc>
          <w:tcPr>
            <w:tcW w:type="dxa" w:w="2000"/>
            <w:tcBorders>
              <w:top w:val="single" w:color="e8e4dc" w:sz="1"/>
              <w:left w:val="none" w:color="FFFFFF" w:sz="0"/>
              <w:bottom w:val="single" w:color="e8e4dc" w:sz="1"/>
              <w:right w:val="single" w:color="e8e4dc" w:sz="1"/>
            </w:tcBorders>
            <w:tcMar>
              <w:top w:type="dxa" w:w="80"/>
              <w:left w:type="dxa" w:w="120"/>
              <w:bottom w:type="dxa" w:w="80"/>
              <w:right w:type="dxa" w:w="120"/>
            </w:tcMar>
          </w:tcPr>
          <w:p>
            <w:pPr>
              <w:jc w:val="center"/>
            </w:pPr>
            <w:r>
              <w:rPr>
                <w:rFonts w:ascii="Calibri" w:cs="Calibri" w:eastAsia="Calibri" w:hAnsi="Calibri"/>
                <w:b/>
                <w:bCs/>
                <w:color w:val="C9A84C"/>
                <w:sz w:val="24"/>
                <w:szCs w:val="24"/>
              </w:rPr>
              <w:t xml:space="preserve">36 countries</w:t>
            </w:r>
          </w:p>
        </w:tc>
        <w:tc>
          <w:tcPr>
            <w:tcW w:type="dxa" w:w="4026"/>
            <w:tcBorders>
              <w:top w:val="single" w:color="e8e4dc" w:sz="1"/>
              <w:left w:val="none" w:color="FFFFFF" w:sz="0"/>
              <w:bottom w:val="single" w:color="e8e4dc" w:sz="1"/>
              <w:right w:val="none" w:color="FFFFFF" w:sz="0"/>
            </w:tcBorders>
            <w:tcMar>
              <w:top w:type="dxa" w:w="80"/>
              <w:left w:type="dxa" w:w="120"/>
              <w:bottom w:type="dxa" w:w="80"/>
              <w:right w:type="dxa" w:w="120"/>
            </w:tcMar>
          </w:tcPr>
          <w:p>
            <w:r>
              <w:rPr>
                <w:rFonts w:ascii="Calibri" w:cs="Calibri" w:eastAsia="Calibri" w:hAnsi="Calibri"/>
                <w:i/>
                <w:iCs/>
                <w:color w:val="555555"/>
                <w:sz w:val="18"/>
                <w:szCs w:val="18"/>
              </w:rPr>
              <w:t xml:space="preserve">Validated internationally (Rounds &amp; Tracey, 1996)</w:t>
            </w:r>
          </w:p>
        </w:tc>
      </w:tr>
    </w:tbl>
    <w:p>
      <w:pPr>
        <w:spacing w:before="120"/>
      </w:pPr>
    </w:p>
    <w:p>
      <w:pPr>
        <w:spacing w:after="80" w:before="180"/>
      </w:pPr>
      <w:r>
        <w:rPr>
          <w:rFonts w:ascii="Calibri" w:cs="Calibri" w:eastAsia="Calibri" w:hAnsi="Calibri"/>
          <w:b/>
          <w:bCs/>
          <w:color w:val="8B6914"/>
          <w:sz w:val="22"/>
          <w:szCs w:val="22"/>
        </w:rPr>
        <w:t xml:space="preserve">Key References</w:t>
      </w:r>
    </w:p>
    <w:p>
      <w:pPr>
        <w:spacing w:after="30" w:before="30"/>
        <w:ind w:left="360" w:hanging="360"/>
      </w:pPr>
      <w:r>
        <w:rPr>
          <w:rFonts w:ascii="Calibri" w:cs="Calibri" w:eastAsia="Calibri" w:hAnsi="Calibri"/>
          <w:i/>
          <w:iCs/>
          <w:color w:val="555555"/>
          <w:sz w:val="18"/>
          <w:szCs w:val="18"/>
        </w:rPr>
        <w:t xml:space="preserve">Holland, J.L. (1959). A theory of vocational choice. Journal of Counseling Psychology, 6(1), 35–45.</w:t>
      </w:r>
    </w:p>
    <w:p>
      <w:pPr>
        <w:spacing w:after="30" w:before="30"/>
        <w:ind w:left="360" w:hanging="360"/>
      </w:pPr>
      <w:r>
        <w:rPr>
          <w:rFonts w:ascii="Calibri" w:cs="Calibri" w:eastAsia="Calibri" w:hAnsi="Calibri"/>
          <w:i/>
          <w:iCs/>
          <w:color w:val="555555"/>
          <w:sz w:val="18"/>
          <w:szCs w:val="18"/>
        </w:rPr>
        <w:t xml:space="preserve">Holland, J.L. (1997). Making vocational choices: A theory of vocational personalities and work environments (3rd ed.). Psychological Assessment Resources.</w:t>
      </w:r>
    </w:p>
    <w:p>
      <w:pPr>
        <w:spacing w:after="30" w:before="30"/>
        <w:ind w:left="360" w:hanging="360"/>
      </w:pPr>
      <w:r>
        <w:rPr>
          <w:rFonts w:ascii="Calibri" w:cs="Calibri" w:eastAsia="Calibri" w:hAnsi="Calibri"/>
          <w:i/>
          <w:iCs/>
          <w:color w:val="555555"/>
          <w:sz w:val="18"/>
          <w:szCs w:val="18"/>
        </w:rPr>
        <w:t xml:space="preserve">Nye, C.D., Su, R., Rounds, J., &amp; Drasgow, F. (2017). Interest congruence and performance: Revisiting recent meta-analytic findings. Journal of Vocational Behavior, 98, 138–151.</w:t>
      </w:r>
    </w:p>
    <w:p>
      <w:pPr>
        <w:spacing w:after="30" w:before="30"/>
        <w:ind w:left="360" w:hanging="360"/>
      </w:pPr>
      <w:r>
        <w:rPr>
          <w:rFonts w:ascii="Calibri" w:cs="Calibri" w:eastAsia="Calibri" w:hAnsi="Calibri"/>
          <w:i/>
          <w:iCs/>
          <w:color w:val="555555"/>
          <w:sz w:val="18"/>
          <w:szCs w:val="18"/>
        </w:rPr>
        <w:t xml:space="preserve">Rounds, J., &amp; Su, R. (2014). The nature and power of interests. Current Directions in Psychological Science, 23(2), 98–103.</w:t>
      </w:r>
    </w:p>
    <w:p>
      <w:pPr>
        <w:spacing w:after="120" w:before="400"/>
      </w:pPr>
      <w:r>
        <w:rPr>
          <w:rFonts w:ascii="Calibri" w:cs="Calibri" w:eastAsia="Calibri" w:hAnsi="Calibri"/>
          <w:b/>
          <w:bCs/>
          <w:color w:val="1A3A5C"/>
          <w:sz w:val="32"/>
          <w:szCs w:val="32"/>
        </w:rPr>
        <w:t xml:space="preserve">3. Instrument 2: Personality Assessment</w:t>
      </w:r>
    </w:p>
    <w:p>
      <w:pPr>
        <w:spacing w:after="100" w:before="280"/>
      </w:pPr>
      <w:r>
        <w:rPr>
          <w:rFonts w:ascii="Calibri" w:cs="Calibri" w:eastAsia="Calibri" w:hAnsi="Calibri"/>
          <w:b/>
          <w:bCs/>
          <w:color w:val="1A3A5C"/>
          <w:sz w:val="26"/>
          <w:szCs w:val="26"/>
        </w:rPr>
        <w:t xml:space="preserve">Big Five Personality Inventory (IPIP-based)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9A84C" w:sz="1"/>
              <w:left w:val="single" w:color="C9A84C" w:sz="1"/>
              <w:bottom w:val="single" w:color="C9A84C" w:sz="1"/>
              <w:right w:val="single" w:color="C9A84C" w:sz="1"/>
            </w:tcBorders>
            <w:shd w:fill="F5F0E8" w:val="clear"/>
            <w:tcMar>
              <w:top w:type="dxa" w:w="120"/>
              <w:left w:type="dxa" w:w="200"/>
              <w:bottom w:type="dxa" w:w="120"/>
              <w:right w:type="dxa" w:w="200"/>
            </w:tcMar>
          </w:tcPr>
          <w:p>
            <w:pPr>
              <w:spacing w:after="80" w:before="0"/>
            </w:pPr>
            <w:r>
              <w:rPr>
                <w:rFonts w:ascii="Calibri" w:cs="Calibri" w:eastAsia="Calibri" w:hAnsi="Calibri"/>
                <w:b/>
                <w:bCs/>
                <w:color w:val="1A3A5C"/>
                <w:sz w:val="22"/>
                <w:szCs w:val="22"/>
              </w:rPr>
              <w:t xml:space="preserve">Instrument Summary</w:t>
            </w:r>
          </w:p>
          <w:p>
            <w:pPr>
              <w:spacing w:after="20" w:before="20"/>
            </w:pPr>
            <w:r>
              <w:rPr>
                <w:rFonts w:ascii="Calibri" w:cs="Calibri" w:eastAsia="Calibri" w:hAnsi="Calibri"/>
                <w:color w:val="333333"/>
                <w:sz w:val="20"/>
                <w:szCs w:val="20"/>
              </w:rPr>
              <w:t xml:space="preserve">Framework:    Five-Factor Model of Personality (Big Five / FFM)</w:t>
            </w:r>
          </w:p>
          <w:p>
            <w:pPr>
              <w:spacing w:after="20" w:before="20"/>
            </w:pPr>
            <w:r>
              <w:rPr>
                <w:rFonts w:ascii="Calibri" w:cs="Calibri" w:eastAsia="Calibri" w:hAnsi="Calibri"/>
                <w:color w:val="333333"/>
                <w:sz w:val="20"/>
                <w:szCs w:val="20"/>
              </w:rPr>
              <w:t xml:space="preserve">Origin:       Lewis Goldberg, University of Oregon; McCrae &amp; Costa, NIH (1980s–1990s)</w:t>
            </w:r>
          </w:p>
          <w:p>
            <w:pPr>
              <w:spacing w:after="20" w:before="20"/>
            </w:pPr>
            <w:r>
              <w:rPr>
                <w:rFonts w:ascii="Calibri" w:cs="Calibri" w:eastAsia="Calibri" w:hAnsi="Calibri"/>
                <w:color w:val="333333"/>
                <w:sz w:val="20"/>
                <w:szCs w:val="20"/>
              </w:rPr>
              <w:t xml:space="preserve">Item pool:    International Personality Item Pool (IPIP) — public domain</w:t>
            </w:r>
          </w:p>
          <w:p>
            <w:pPr>
              <w:spacing w:after="20" w:before="20"/>
            </w:pPr>
            <w:r>
              <w:rPr>
                <w:rFonts w:ascii="Calibri" w:cs="Calibri" w:eastAsia="Calibri" w:hAnsi="Calibri"/>
                <w:color w:val="333333"/>
                <w:sz w:val="20"/>
                <w:szCs w:val="20"/>
              </w:rPr>
              <w:t xml:space="preserve">In use since: 1980s (40+ years of research)</w:t>
            </w:r>
          </w:p>
          <w:p>
            <w:pPr>
              <w:spacing w:after="20" w:before="20"/>
            </w:pPr>
            <w:r>
              <w:rPr>
                <w:rFonts w:ascii="Calibri" w:cs="Calibri" w:eastAsia="Calibri" w:hAnsi="Calibri"/>
                <w:color w:val="333333"/>
                <w:sz w:val="20"/>
                <w:szCs w:val="20"/>
              </w:rPr>
              <w:t xml:space="preserve">Used by:      Academic institutions, NHS-affiliated research, corporate assessment globally</w:t>
            </w:r>
          </w:p>
        </w:tc>
      </w:tr>
    </w:tbl>
    <w:p>
      <w:pPr>
        <w:spacing w:before="160"/>
      </w:pPr>
    </w:p>
    <w:p>
      <w:pPr>
        <w:spacing w:after="80" w:before="180"/>
      </w:pPr>
      <w:r>
        <w:rPr>
          <w:rFonts w:ascii="Calibri" w:cs="Calibri" w:eastAsia="Calibri" w:hAnsi="Calibri"/>
          <w:b/>
          <w:bCs/>
          <w:color w:val="8B6914"/>
          <w:sz w:val="22"/>
          <w:szCs w:val="22"/>
        </w:rPr>
        <w:t xml:space="preserve">Academic Provenance</w:t>
      </w:r>
    </w:p>
    <w:p>
      <w:pPr>
        <w:spacing w:after="60" w:before="60"/>
        <w:jc w:val="left"/>
      </w:pPr>
      <w:r>
        <w:rPr>
          <w:rFonts w:ascii="Calibri" w:cs="Calibri" w:eastAsia="Calibri" w:hAnsi="Calibri"/>
          <w:b w:val="false"/>
          <w:bCs w:val="false"/>
          <w:i w:val="false"/>
          <w:iCs w:val="false"/>
          <w:color w:val="333333"/>
          <w:sz w:val="22"/>
          <w:szCs w:val="22"/>
        </w:rPr>
        <w:t xml:space="preserve">The Five-Factor Model (FFM) represents the dominant scientific consensus on human personality structure. The model identifies five broad dimensions: Openness to Experience, Conscientiousness, Extraversion, Agreeableness, and Neuroticism (OCEAN). The International Personality Item Pool (IPIP), developed by Lewis Goldberg, provides open-access items that measure these constructs and has been validated against proprietary instruments including the NEO-PI-R.</w:t>
      </w:r>
    </w:p>
    <w:p>
      <w:pPr>
        <w:spacing w:after="60" w:before="60"/>
        <w:jc w:val="left"/>
      </w:pPr>
      <w:r>
        <w:rPr>
          <w:rFonts w:ascii="Calibri" w:cs="Calibri" w:eastAsia="Calibri" w:hAnsi="Calibri"/>
          <w:b w:val="false"/>
          <w:bCs w:val="false"/>
          <w:i w:val="false"/>
          <w:iCs w:val="false"/>
          <w:color w:val="333333"/>
          <w:sz w:val="22"/>
          <w:szCs w:val="22"/>
        </w:rPr>
        <w:t xml:space="preserve">Compass UK uses IPIP-based items, which are in the public domain and have been independently validated against the gold-standard NEO-PI-R (Costa &amp; McCrae) with convergent validity coefficients consistently above r = .80 across studies.</w:t>
      </w:r>
    </w:p>
    <w:p>
      <w:pPr>
        <w:spacing w:after="80" w:before="180"/>
      </w:pPr>
      <w:r>
        <w:rPr>
          <w:rFonts w:ascii="Calibri" w:cs="Calibri" w:eastAsia="Calibri" w:hAnsi="Calibri"/>
          <w:b/>
          <w:bCs/>
          <w:color w:val="8B6914"/>
          <w:sz w:val="22"/>
          <w:szCs w:val="22"/>
        </w:rPr>
        <w:t xml:space="preserve">Validity Evidence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2000"/>
        <w:gridCol w:w="4026"/>
      </w:tblGrid>
      <w:tr>
        <w:tc>
          <w:tcPr>
            <w:tcW w:type="dxa" w:w="3000"/>
            <w:tcBorders>
              <w:top w:val="single" w:color="e8e4dc" w:sz="1"/>
              <w:left w:val="none" w:color="FFFFFF" w:sz="0"/>
              <w:bottom w:val="single" w:color="e8e4dc" w:sz="1"/>
              <w:right w:val="single" w:color="e8e4dc" w:sz="1"/>
            </w:tcBorders>
            <w:shd w:fill="F5F0E8" w:val="clear"/>
            <w:tcMar>
              <w:top w:type="dxa" w:w="80"/>
              <w:left w:type="dxa" w:w="120"/>
              <w:bottom w:type="dxa" w:w="80"/>
              <w:right w:type="dxa" w:w="120"/>
            </w:tcMar>
          </w:tcPr>
          <w:p>
            <w:r>
              <w:rPr>
                <w:rFonts w:ascii="Calibri" w:cs="Calibri" w:eastAsia="Calibri" w:hAnsi="Calibri"/>
                <w:b/>
                <w:bCs/>
                <w:color w:val="1A3A5C"/>
                <w:sz w:val="20"/>
                <w:szCs w:val="20"/>
              </w:rPr>
              <w:t xml:space="preserve">Conscientiousness → Performance</w:t>
            </w:r>
          </w:p>
        </w:tc>
        <w:tc>
          <w:tcPr>
            <w:tcW w:type="dxa" w:w="2000"/>
            <w:tcBorders>
              <w:top w:val="single" w:color="e8e4dc" w:sz="1"/>
              <w:left w:val="none" w:color="FFFFFF" w:sz="0"/>
              <w:bottom w:val="single" w:color="e8e4dc" w:sz="1"/>
              <w:right w:val="single" w:color="e8e4dc" w:sz="1"/>
            </w:tcBorders>
            <w:tcMar>
              <w:top w:type="dxa" w:w="80"/>
              <w:left w:type="dxa" w:w="120"/>
              <w:bottom w:type="dxa" w:w="80"/>
              <w:right w:type="dxa" w:w="120"/>
            </w:tcMar>
          </w:tcPr>
          <w:p>
            <w:pPr>
              <w:jc w:val="center"/>
            </w:pPr>
            <w:r>
              <w:rPr>
                <w:rFonts w:ascii="Calibri" w:cs="Calibri" w:eastAsia="Calibri" w:hAnsi="Calibri"/>
                <w:b/>
                <w:bCs/>
                <w:color w:val="C9A84C"/>
                <w:sz w:val="24"/>
                <w:szCs w:val="24"/>
              </w:rPr>
              <w:t xml:space="preserve">r = .22 – .31</w:t>
            </w:r>
          </w:p>
        </w:tc>
        <w:tc>
          <w:tcPr>
            <w:tcW w:type="dxa" w:w="4026"/>
            <w:tcBorders>
              <w:top w:val="single" w:color="e8e4dc" w:sz="1"/>
              <w:left w:val="none" w:color="FFFFFF" w:sz="0"/>
              <w:bottom w:val="single" w:color="e8e4dc" w:sz="1"/>
              <w:right w:val="none" w:color="FFFFFF" w:sz="0"/>
            </w:tcBorders>
            <w:tcMar>
              <w:top w:type="dxa" w:w="80"/>
              <w:left w:type="dxa" w:w="120"/>
              <w:bottom w:type="dxa" w:w="80"/>
              <w:right w:type="dxa" w:w="120"/>
            </w:tcMar>
          </w:tcPr>
          <w:p>
            <w:r>
              <w:rPr>
                <w:rFonts w:ascii="Calibri" w:cs="Calibri" w:eastAsia="Calibri" w:hAnsi="Calibri"/>
                <w:i/>
                <w:iCs/>
                <w:color w:val="555555"/>
                <w:sz w:val="18"/>
                <w:szCs w:val="18"/>
              </w:rPr>
              <w:t xml:space="preserve">Meta-analysis, Barrick &amp; Mount, 1991 (k=117)</w:t>
            </w:r>
          </w:p>
        </w:tc>
      </w:tr>
      <w:tr>
        <w:tc>
          <w:tcPr>
            <w:tcW w:type="dxa" w:w="3000"/>
            <w:tcBorders>
              <w:top w:val="single" w:color="e8e4dc" w:sz="1"/>
              <w:left w:val="none" w:color="FFFFFF" w:sz="0"/>
              <w:bottom w:val="single" w:color="e8e4dc" w:sz="1"/>
              <w:right w:val="single" w:color="e8e4dc" w:sz="1"/>
            </w:tcBorders>
            <w:shd w:fill="F5F0E8" w:val="clear"/>
            <w:tcMar>
              <w:top w:type="dxa" w:w="80"/>
              <w:left w:type="dxa" w:w="120"/>
              <w:bottom w:type="dxa" w:w="80"/>
              <w:right w:type="dxa" w:w="120"/>
            </w:tcMar>
          </w:tcPr>
          <w:p>
            <w:r>
              <w:rPr>
                <w:rFonts w:ascii="Calibri" w:cs="Calibri" w:eastAsia="Calibri" w:hAnsi="Calibri"/>
                <w:b/>
                <w:bCs/>
                <w:color w:val="1A3A5C"/>
                <w:sz w:val="20"/>
                <w:szCs w:val="20"/>
              </w:rPr>
              <w:t xml:space="preserve">Big Five → Career Satisfaction</w:t>
            </w:r>
          </w:p>
        </w:tc>
        <w:tc>
          <w:tcPr>
            <w:tcW w:type="dxa" w:w="2000"/>
            <w:tcBorders>
              <w:top w:val="single" w:color="e8e4dc" w:sz="1"/>
              <w:left w:val="none" w:color="FFFFFF" w:sz="0"/>
              <w:bottom w:val="single" w:color="e8e4dc" w:sz="1"/>
              <w:right w:val="single" w:color="e8e4dc" w:sz="1"/>
            </w:tcBorders>
            <w:tcMar>
              <w:top w:type="dxa" w:w="80"/>
              <w:left w:type="dxa" w:w="120"/>
              <w:bottom w:type="dxa" w:w="80"/>
              <w:right w:type="dxa" w:w="120"/>
            </w:tcMar>
          </w:tcPr>
          <w:p>
            <w:pPr>
              <w:jc w:val="center"/>
            </w:pPr>
            <w:r>
              <w:rPr>
                <w:rFonts w:ascii="Calibri" w:cs="Calibri" w:eastAsia="Calibri" w:hAnsi="Calibri"/>
                <w:b/>
                <w:bCs/>
                <w:color w:val="C9A84C"/>
                <w:sz w:val="24"/>
                <w:szCs w:val="24"/>
              </w:rPr>
              <w:t xml:space="preserve">r = .19 – .35</w:t>
            </w:r>
          </w:p>
        </w:tc>
        <w:tc>
          <w:tcPr>
            <w:tcW w:type="dxa" w:w="4026"/>
            <w:tcBorders>
              <w:top w:val="single" w:color="e8e4dc" w:sz="1"/>
              <w:left w:val="none" w:color="FFFFFF" w:sz="0"/>
              <w:bottom w:val="single" w:color="e8e4dc" w:sz="1"/>
              <w:right w:val="none" w:color="FFFFFF" w:sz="0"/>
            </w:tcBorders>
            <w:tcMar>
              <w:top w:type="dxa" w:w="80"/>
              <w:left w:type="dxa" w:w="120"/>
              <w:bottom w:type="dxa" w:w="80"/>
              <w:right w:type="dxa" w:w="120"/>
            </w:tcMar>
          </w:tcPr>
          <w:p>
            <w:r>
              <w:rPr>
                <w:rFonts w:ascii="Calibri" w:cs="Calibri" w:eastAsia="Calibri" w:hAnsi="Calibri"/>
                <w:i/>
                <w:iCs/>
                <w:color w:val="555555"/>
                <w:sz w:val="18"/>
                <w:szCs w:val="18"/>
              </w:rPr>
              <w:t xml:space="preserve">Hoff et al., 2020; meta-analytic review</w:t>
            </w:r>
          </w:p>
        </w:tc>
      </w:tr>
      <w:tr>
        <w:tc>
          <w:tcPr>
            <w:tcW w:type="dxa" w:w="3000"/>
            <w:tcBorders>
              <w:top w:val="single" w:color="e8e4dc" w:sz="1"/>
              <w:left w:val="none" w:color="FFFFFF" w:sz="0"/>
              <w:bottom w:val="single" w:color="e8e4dc" w:sz="1"/>
              <w:right w:val="single" w:color="e8e4dc" w:sz="1"/>
            </w:tcBorders>
            <w:shd w:fill="F5F0E8" w:val="clear"/>
            <w:tcMar>
              <w:top w:type="dxa" w:w="80"/>
              <w:left w:type="dxa" w:w="120"/>
              <w:bottom w:type="dxa" w:w="80"/>
              <w:right w:type="dxa" w:w="120"/>
            </w:tcMar>
          </w:tcPr>
          <w:p>
            <w:r>
              <w:rPr>
                <w:rFonts w:ascii="Calibri" w:cs="Calibri" w:eastAsia="Calibri" w:hAnsi="Calibri"/>
                <w:b/>
                <w:bCs/>
                <w:color w:val="1A3A5C"/>
                <w:sz w:val="20"/>
                <w:szCs w:val="20"/>
              </w:rPr>
              <w:t xml:space="preserve">IPIP vs NEO-PI-R convergence</w:t>
            </w:r>
          </w:p>
        </w:tc>
        <w:tc>
          <w:tcPr>
            <w:tcW w:type="dxa" w:w="2000"/>
            <w:tcBorders>
              <w:top w:val="single" w:color="e8e4dc" w:sz="1"/>
              <w:left w:val="none" w:color="FFFFFF" w:sz="0"/>
              <w:bottom w:val="single" w:color="e8e4dc" w:sz="1"/>
              <w:right w:val="single" w:color="e8e4dc" w:sz="1"/>
            </w:tcBorders>
            <w:tcMar>
              <w:top w:type="dxa" w:w="80"/>
              <w:left w:type="dxa" w:w="120"/>
              <w:bottom w:type="dxa" w:w="80"/>
              <w:right w:type="dxa" w:w="120"/>
            </w:tcMar>
          </w:tcPr>
          <w:p>
            <w:pPr>
              <w:jc w:val="center"/>
            </w:pPr>
            <w:r>
              <w:rPr>
                <w:rFonts w:ascii="Calibri" w:cs="Calibri" w:eastAsia="Calibri" w:hAnsi="Calibri"/>
                <w:b/>
                <w:bCs/>
                <w:color w:val="C9A84C"/>
                <w:sz w:val="24"/>
                <w:szCs w:val="24"/>
              </w:rPr>
              <w:t xml:space="preserve">r = .80 – .93</w:t>
            </w:r>
          </w:p>
        </w:tc>
        <w:tc>
          <w:tcPr>
            <w:tcW w:type="dxa" w:w="4026"/>
            <w:tcBorders>
              <w:top w:val="single" w:color="e8e4dc" w:sz="1"/>
              <w:left w:val="none" w:color="FFFFFF" w:sz="0"/>
              <w:bottom w:val="single" w:color="e8e4dc" w:sz="1"/>
              <w:right w:val="none" w:color="FFFFFF" w:sz="0"/>
            </w:tcBorders>
            <w:tcMar>
              <w:top w:type="dxa" w:w="80"/>
              <w:left w:type="dxa" w:w="120"/>
              <w:bottom w:type="dxa" w:w="80"/>
              <w:right w:type="dxa" w:w="120"/>
            </w:tcMar>
          </w:tcPr>
          <w:p>
            <w:r>
              <w:rPr>
                <w:rFonts w:ascii="Calibri" w:cs="Calibri" w:eastAsia="Calibri" w:hAnsi="Calibri"/>
                <w:i/>
                <w:iCs/>
                <w:color w:val="555555"/>
                <w:sz w:val="18"/>
                <w:szCs w:val="18"/>
              </w:rPr>
              <w:t xml:space="preserve">Goldberg et al., 2006; cross-validated</w:t>
            </w:r>
          </w:p>
        </w:tc>
      </w:tr>
      <w:tr>
        <w:tc>
          <w:tcPr>
            <w:tcW w:type="dxa" w:w="3000"/>
            <w:tcBorders>
              <w:top w:val="single" w:color="e8e4dc" w:sz="1"/>
              <w:left w:val="none" w:color="FFFFFF" w:sz="0"/>
              <w:bottom w:val="single" w:color="e8e4dc" w:sz="1"/>
              <w:right w:val="single" w:color="e8e4dc" w:sz="1"/>
            </w:tcBorders>
            <w:shd w:fill="F5F0E8" w:val="clear"/>
            <w:tcMar>
              <w:top w:type="dxa" w:w="80"/>
              <w:left w:type="dxa" w:w="120"/>
              <w:bottom w:type="dxa" w:w="80"/>
              <w:right w:type="dxa" w:w="120"/>
            </w:tcMar>
          </w:tcPr>
          <w:p>
            <w:r>
              <w:rPr>
                <w:rFonts w:ascii="Calibri" w:cs="Calibri" w:eastAsia="Calibri" w:hAnsi="Calibri"/>
                <w:b/>
                <w:bCs/>
                <w:color w:val="1A3A5C"/>
                <w:sz w:val="20"/>
                <w:szCs w:val="20"/>
              </w:rPr>
              <w:t xml:space="preserve">Internal consistency (α)</w:t>
            </w:r>
          </w:p>
        </w:tc>
        <w:tc>
          <w:tcPr>
            <w:tcW w:type="dxa" w:w="2000"/>
            <w:tcBorders>
              <w:top w:val="single" w:color="e8e4dc" w:sz="1"/>
              <w:left w:val="none" w:color="FFFFFF" w:sz="0"/>
              <w:bottom w:val="single" w:color="e8e4dc" w:sz="1"/>
              <w:right w:val="single" w:color="e8e4dc" w:sz="1"/>
            </w:tcBorders>
            <w:tcMar>
              <w:top w:type="dxa" w:w="80"/>
              <w:left w:type="dxa" w:w="120"/>
              <w:bottom w:type="dxa" w:w="80"/>
              <w:right w:type="dxa" w:w="120"/>
            </w:tcMar>
          </w:tcPr>
          <w:p>
            <w:pPr>
              <w:jc w:val="center"/>
            </w:pPr>
            <w:r>
              <w:rPr>
                <w:rFonts w:ascii="Calibri" w:cs="Calibri" w:eastAsia="Calibri" w:hAnsi="Calibri"/>
                <w:b/>
                <w:bCs/>
                <w:color w:val="C9A84C"/>
                <w:sz w:val="24"/>
                <w:szCs w:val="24"/>
              </w:rPr>
              <w:t xml:space="preserve">.81 – .93</w:t>
            </w:r>
          </w:p>
        </w:tc>
        <w:tc>
          <w:tcPr>
            <w:tcW w:type="dxa" w:w="4026"/>
            <w:tcBorders>
              <w:top w:val="single" w:color="e8e4dc" w:sz="1"/>
              <w:left w:val="none" w:color="FFFFFF" w:sz="0"/>
              <w:bottom w:val="single" w:color="e8e4dc" w:sz="1"/>
              <w:right w:val="none" w:color="FFFFFF" w:sz="0"/>
            </w:tcBorders>
            <w:tcMar>
              <w:top w:type="dxa" w:w="80"/>
              <w:left w:type="dxa" w:w="120"/>
              <w:bottom w:type="dxa" w:w="80"/>
              <w:right w:type="dxa" w:w="120"/>
            </w:tcMar>
          </w:tcPr>
          <w:p>
            <w:r>
              <w:rPr>
                <w:rFonts w:ascii="Calibri" w:cs="Calibri" w:eastAsia="Calibri" w:hAnsi="Calibri"/>
                <w:i/>
                <w:iCs/>
                <w:color w:val="555555"/>
                <w:sz w:val="18"/>
                <w:szCs w:val="18"/>
              </w:rPr>
              <w:t xml:space="preserve">IPIP standardisation studies</w:t>
            </w:r>
          </w:p>
        </w:tc>
      </w:tr>
      <w:tr>
        <w:tc>
          <w:tcPr>
            <w:tcW w:type="dxa" w:w="3000"/>
            <w:tcBorders>
              <w:top w:val="single" w:color="e8e4dc" w:sz="1"/>
              <w:left w:val="none" w:color="FFFFFF" w:sz="0"/>
              <w:bottom w:val="single" w:color="e8e4dc" w:sz="1"/>
              <w:right w:val="single" w:color="e8e4dc" w:sz="1"/>
            </w:tcBorders>
            <w:shd w:fill="F5F0E8" w:val="clear"/>
            <w:tcMar>
              <w:top w:type="dxa" w:w="80"/>
              <w:left w:type="dxa" w:w="120"/>
              <w:bottom w:type="dxa" w:w="80"/>
              <w:right w:type="dxa" w:w="120"/>
            </w:tcMar>
          </w:tcPr>
          <w:p>
            <w:r>
              <w:rPr>
                <w:rFonts w:ascii="Calibri" w:cs="Calibri" w:eastAsia="Calibri" w:hAnsi="Calibri"/>
                <w:b/>
                <w:bCs/>
                <w:color w:val="1A3A5C"/>
                <w:sz w:val="20"/>
                <w:szCs w:val="20"/>
              </w:rPr>
              <w:t xml:space="preserve">Test–retest reliability</w:t>
            </w:r>
          </w:p>
        </w:tc>
        <w:tc>
          <w:tcPr>
            <w:tcW w:type="dxa" w:w="2000"/>
            <w:tcBorders>
              <w:top w:val="single" w:color="e8e4dc" w:sz="1"/>
              <w:left w:val="none" w:color="FFFFFF" w:sz="0"/>
              <w:bottom w:val="single" w:color="e8e4dc" w:sz="1"/>
              <w:right w:val="single" w:color="e8e4dc" w:sz="1"/>
            </w:tcBorders>
            <w:tcMar>
              <w:top w:type="dxa" w:w="80"/>
              <w:left w:type="dxa" w:w="120"/>
              <w:bottom w:type="dxa" w:w="80"/>
              <w:right w:type="dxa" w:w="120"/>
            </w:tcMar>
          </w:tcPr>
          <w:p>
            <w:pPr>
              <w:jc w:val="center"/>
            </w:pPr>
            <w:r>
              <w:rPr>
                <w:rFonts w:ascii="Calibri" w:cs="Calibri" w:eastAsia="Calibri" w:hAnsi="Calibri"/>
                <w:b/>
                <w:bCs/>
                <w:color w:val="C9A84C"/>
                <w:sz w:val="24"/>
                <w:szCs w:val="24"/>
              </w:rPr>
              <w:t xml:space="preserve">.75 – .87</w:t>
            </w:r>
          </w:p>
        </w:tc>
        <w:tc>
          <w:tcPr>
            <w:tcW w:type="dxa" w:w="4026"/>
            <w:tcBorders>
              <w:top w:val="single" w:color="e8e4dc" w:sz="1"/>
              <w:left w:val="none" w:color="FFFFFF" w:sz="0"/>
              <w:bottom w:val="single" w:color="e8e4dc" w:sz="1"/>
              <w:right w:val="none" w:color="FFFFFF" w:sz="0"/>
            </w:tcBorders>
            <w:tcMar>
              <w:top w:type="dxa" w:w="80"/>
              <w:left w:type="dxa" w:w="120"/>
              <w:bottom w:type="dxa" w:w="80"/>
              <w:right w:type="dxa" w:w="120"/>
            </w:tcMar>
          </w:tcPr>
          <w:p>
            <w:r>
              <w:rPr>
                <w:rFonts w:ascii="Calibri" w:cs="Calibri" w:eastAsia="Calibri" w:hAnsi="Calibri"/>
                <w:i/>
                <w:iCs/>
                <w:color w:val="555555"/>
                <w:sz w:val="18"/>
                <w:szCs w:val="18"/>
              </w:rPr>
              <w:t xml:space="preserve">4-week intervals, adult populations</w:t>
            </w:r>
          </w:p>
        </w:tc>
      </w:tr>
    </w:tbl>
    <w:p>
      <w:pPr>
        <w:spacing w:before="120"/>
      </w:pPr>
    </w:p>
    <w:p>
      <w:pPr>
        <w:spacing w:after="80" w:before="180"/>
      </w:pPr>
      <w:r>
        <w:rPr>
          <w:rFonts w:ascii="Calibri" w:cs="Calibri" w:eastAsia="Calibri" w:hAnsi="Calibri"/>
          <w:b/>
          <w:bCs/>
          <w:color w:val="8B6914"/>
          <w:sz w:val="22"/>
          <w:szCs w:val="22"/>
        </w:rPr>
        <w:t xml:space="preserve">Key References</w:t>
      </w:r>
    </w:p>
    <w:p>
      <w:pPr>
        <w:spacing w:after="30" w:before="30"/>
        <w:ind w:left="360" w:hanging="360"/>
      </w:pPr>
      <w:r>
        <w:rPr>
          <w:rFonts w:ascii="Calibri" w:cs="Calibri" w:eastAsia="Calibri" w:hAnsi="Calibri"/>
          <w:i/>
          <w:iCs/>
          <w:color w:val="555555"/>
          <w:sz w:val="18"/>
          <w:szCs w:val="18"/>
        </w:rPr>
        <w:t xml:space="preserve">Goldberg, L.R. (1992). The development of markers for the Big-Five factor structure. Psychological Assessment, 4(1), 26–42.</w:t>
      </w:r>
    </w:p>
    <w:p>
      <w:pPr>
        <w:spacing w:after="30" w:before="30"/>
        <w:ind w:left="360" w:hanging="360"/>
      </w:pPr>
      <w:r>
        <w:rPr>
          <w:rFonts w:ascii="Calibri" w:cs="Calibri" w:eastAsia="Calibri" w:hAnsi="Calibri"/>
          <w:i/>
          <w:iCs/>
          <w:color w:val="555555"/>
          <w:sz w:val="18"/>
          <w:szCs w:val="18"/>
        </w:rPr>
        <w:t xml:space="preserve">Barrick, M.R., &amp; Mount, M.K. (1991). The Big Five personality dimensions and job performance. Personnel Psychology, 44(1), 1–26.</w:t>
      </w:r>
    </w:p>
    <w:p>
      <w:pPr>
        <w:spacing w:after="30" w:before="30"/>
        <w:ind w:left="360" w:hanging="360"/>
      </w:pPr>
      <w:r>
        <w:rPr>
          <w:rFonts w:ascii="Calibri" w:cs="Calibri" w:eastAsia="Calibri" w:hAnsi="Calibri"/>
          <w:i/>
          <w:iCs/>
          <w:color w:val="555555"/>
          <w:sz w:val="18"/>
          <w:szCs w:val="18"/>
        </w:rPr>
        <w:t xml:space="preserve">Goldberg, L.R., Johnson, J.A., Eber, H.W., et al. (2006). The International Personality Item Pool and the future of public-domain personality measures. Journal of Research in Personality, 40(1), 84–96.</w:t>
      </w:r>
    </w:p>
    <w:p>
      <w:pPr>
        <w:spacing w:after="30" w:before="30"/>
        <w:ind w:left="360" w:hanging="360"/>
      </w:pPr>
      <w:r>
        <w:rPr>
          <w:rFonts w:ascii="Calibri" w:cs="Calibri" w:eastAsia="Calibri" w:hAnsi="Calibri"/>
          <w:i/>
          <w:iCs/>
          <w:color w:val="555555"/>
          <w:sz w:val="18"/>
          <w:szCs w:val="18"/>
        </w:rPr>
        <w:t xml:space="preserve">McCrae, R.R., &amp; Costa, P.T. (1997). Personality trait structure as a human universal. American Psychologist, 52(5), 509–516.</w:t>
      </w:r>
    </w:p>
    <w:p>
      <w:pPr>
        <w:spacing w:after="120" w:before="400"/>
      </w:pPr>
      <w:r>
        <w:rPr>
          <w:rFonts w:ascii="Calibri" w:cs="Calibri" w:eastAsia="Calibri" w:hAnsi="Calibri"/>
          <w:b/>
          <w:bCs/>
          <w:color w:val="1A3A5C"/>
          <w:sz w:val="32"/>
          <w:szCs w:val="32"/>
        </w:rPr>
        <w:t xml:space="preserve">4. Instrument 3: Character Strengths Assessment</w:t>
      </w:r>
    </w:p>
    <w:p>
      <w:pPr>
        <w:spacing w:after="100" w:before="280"/>
      </w:pPr>
      <w:r>
        <w:rPr>
          <w:rFonts w:ascii="Calibri" w:cs="Calibri" w:eastAsia="Calibri" w:hAnsi="Calibri"/>
          <w:b/>
          <w:bCs/>
          <w:color w:val="1A3A5C"/>
          <w:sz w:val="26"/>
          <w:szCs w:val="26"/>
        </w:rPr>
        <w:t xml:space="preserve">IPIP-Based Character Strengths Scales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9A84C" w:sz="1"/>
              <w:left w:val="single" w:color="C9A84C" w:sz="1"/>
              <w:bottom w:val="single" w:color="C9A84C" w:sz="1"/>
              <w:right w:val="single" w:color="C9A84C" w:sz="1"/>
            </w:tcBorders>
            <w:shd w:fill="F5F0E8" w:val="clear"/>
            <w:tcMar>
              <w:top w:type="dxa" w:w="120"/>
              <w:left w:type="dxa" w:w="200"/>
              <w:bottom w:type="dxa" w:w="120"/>
              <w:right w:type="dxa" w:w="200"/>
            </w:tcMar>
          </w:tcPr>
          <w:p>
            <w:pPr>
              <w:spacing w:after="80" w:before="0"/>
            </w:pPr>
            <w:r>
              <w:rPr>
                <w:rFonts w:ascii="Calibri" w:cs="Calibri" w:eastAsia="Calibri" w:hAnsi="Calibri"/>
                <w:b/>
                <w:bCs/>
                <w:color w:val="1A3A5C"/>
                <w:sz w:val="22"/>
                <w:szCs w:val="22"/>
              </w:rPr>
              <w:t xml:space="preserve">Instrument Summary</w:t>
            </w:r>
          </w:p>
          <w:p>
            <w:pPr>
              <w:spacing w:after="20" w:before="20"/>
            </w:pPr>
            <w:r>
              <w:rPr>
                <w:rFonts w:ascii="Calibri" w:cs="Calibri" w:eastAsia="Calibri" w:hAnsi="Calibri"/>
                <w:color w:val="333333"/>
                <w:sz w:val="20"/>
                <w:szCs w:val="20"/>
              </w:rPr>
              <w:t xml:space="preserve">Framework:    Values in Action (VIA) Classification of Character Strengths</w:t>
            </w:r>
          </w:p>
          <w:p>
            <w:pPr>
              <w:spacing w:after="20" w:before="20"/>
            </w:pPr>
            <w:r>
              <w:rPr>
                <w:rFonts w:ascii="Calibri" w:cs="Calibri" w:eastAsia="Calibri" w:hAnsi="Calibri"/>
                <w:color w:val="333333"/>
                <w:sz w:val="20"/>
                <w:szCs w:val="20"/>
              </w:rPr>
              <w:t xml:space="preserve">Origin:       Peterson &amp; Seligman, University of Pennsylvania, 2004</w:t>
            </w:r>
          </w:p>
          <w:p>
            <w:pPr>
              <w:spacing w:after="20" w:before="20"/>
            </w:pPr>
            <w:r>
              <w:rPr>
                <w:rFonts w:ascii="Calibri" w:cs="Calibri" w:eastAsia="Calibri" w:hAnsi="Calibri"/>
                <w:color w:val="333333"/>
                <w:sz w:val="20"/>
                <w:szCs w:val="20"/>
              </w:rPr>
              <w:t xml:space="preserve">Item pool:    IPIP-VIA scales (public domain equivalent)</w:t>
            </w:r>
          </w:p>
          <w:p>
            <w:pPr>
              <w:spacing w:after="20" w:before="20"/>
            </w:pPr>
            <w:r>
              <w:rPr>
                <w:rFonts w:ascii="Calibri" w:cs="Calibri" w:eastAsia="Calibri" w:hAnsi="Calibri"/>
                <w:color w:val="333333"/>
                <w:sz w:val="20"/>
                <w:szCs w:val="20"/>
              </w:rPr>
              <w:t xml:space="preserve">In use since: 2004 (20+ years of research)</w:t>
            </w:r>
          </w:p>
          <w:p>
            <w:pPr>
              <w:spacing w:after="20" w:before="20"/>
            </w:pPr>
            <w:r>
              <w:rPr>
                <w:rFonts w:ascii="Calibri" w:cs="Calibri" w:eastAsia="Calibri" w:hAnsi="Calibri"/>
                <w:color w:val="333333"/>
                <w:sz w:val="20"/>
                <w:szCs w:val="20"/>
              </w:rPr>
              <w:t xml:space="preserve">Used by:      Positive psychology researchers, organisational psychologists, career coaches</w:t>
            </w:r>
          </w:p>
        </w:tc>
      </w:tr>
    </w:tbl>
    <w:p>
      <w:pPr>
        <w:spacing w:before="160"/>
      </w:pPr>
    </w:p>
    <w:p>
      <w:pPr>
        <w:spacing w:after="80" w:before="180"/>
      </w:pPr>
      <w:r>
        <w:rPr>
          <w:rFonts w:ascii="Calibri" w:cs="Calibri" w:eastAsia="Calibri" w:hAnsi="Calibri"/>
          <w:b/>
          <w:bCs/>
          <w:color w:val="8B6914"/>
          <w:sz w:val="22"/>
          <w:szCs w:val="22"/>
        </w:rPr>
        <w:t xml:space="preserve">Academic Provenance</w:t>
      </w:r>
    </w:p>
    <w:p>
      <w:pPr>
        <w:spacing w:after="60" w:before="60"/>
        <w:jc w:val="left"/>
      </w:pPr>
      <w:r>
        <w:rPr>
          <w:rFonts w:ascii="Calibri" w:cs="Calibri" w:eastAsia="Calibri" w:hAnsi="Calibri"/>
          <w:b w:val="false"/>
          <w:bCs w:val="false"/>
          <w:i w:val="false"/>
          <w:iCs w:val="false"/>
          <w:color w:val="333333"/>
          <w:sz w:val="22"/>
          <w:szCs w:val="22"/>
        </w:rPr>
        <w:t xml:space="preserve">Character strengths assessment is grounded in positive psychology and the Values in Action (VIA) classification developed by Peterson and Seligman (2004). The VIA framework identifies 24 universally valued character strengths across six virtue categories. Compass UK uses IPIP-based scales that measure the same character strength constructs using public-domain items validated against VIA instruments.</w:t>
      </w:r>
    </w:p>
    <w:p>
      <w:pPr>
        <w:spacing w:after="60" w:before="60"/>
        <w:jc w:val="left"/>
      </w:pPr>
      <w:r>
        <w:rPr>
          <w:rFonts w:ascii="Calibri" w:cs="Calibri" w:eastAsia="Calibri" w:hAnsi="Calibri"/>
          <w:b w:val="false"/>
          <w:bCs w:val="false"/>
          <w:i w:val="false"/>
          <w:iCs w:val="false"/>
          <w:color w:val="333333"/>
          <w:sz w:val="22"/>
          <w:szCs w:val="22"/>
        </w:rPr>
        <w:t xml:space="preserve">Research has demonstrated that character strengths predict occupational engagement, meaning at work, and job performance above and beyond personality traits alone (Harzer, Bezuglova &amp; Weber, 2021).</w:t>
      </w:r>
    </w:p>
    <w:p>
      <w:pPr>
        <w:spacing w:after="80" w:before="180"/>
      </w:pPr>
      <w:r>
        <w:rPr>
          <w:rFonts w:ascii="Calibri" w:cs="Calibri" w:eastAsia="Calibri" w:hAnsi="Calibri"/>
          <w:b/>
          <w:bCs/>
          <w:color w:val="8B6914"/>
          <w:sz w:val="22"/>
          <w:szCs w:val="22"/>
        </w:rPr>
        <w:t xml:space="preserve">Validity Evidence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2000"/>
        <w:gridCol w:w="4026"/>
      </w:tblGrid>
      <w:tr>
        <w:tc>
          <w:tcPr>
            <w:tcW w:type="dxa" w:w="3000"/>
            <w:tcBorders>
              <w:top w:val="single" w:color="e8e4dc" w:sz="1"/>
              <w:left w:val="none" w:color="FFFFFF" w:sz="0"/>
              <w:bottom w:val="single" w:color="e8e4dc" w:sz="1"/>
              <w:right w:val="single" w:color="e8e4dc" w:sz="1"/>
            </w:tcBorders>
            <w:shd w:fill="F5F0E8" w:val="clear"/>
            <w:tcMar>
              <w:top w:type="dxa" w:w="80"/>
              <w:left w:type="dxa" w:w="120"/>
              <w:bottom w:type="dxa" w:w="80"/>
              <w:right w:type="dxa" w:w="120"/>
            </w:tcMar>
          </w:tcPr>
          <w:p>
            <w:r>
              <w:rPr>
                <w:rFonts w:ascii="Calibri" w:cs="Calibri" w:eastAsia="Calibri" w:hAnsi="Calibri"/>
                <w:b/>
                <w:bCs/>
                <w:color w:val="1A3A5C"/>
                <w:sz w:val="20"/>
                <w:szCs w:val="20"/>
              </w:rPr>
              <w:t xml:space="preserve">Strengths → Work engagement</w:t>
            </w:r>
          </w:p>
        </w:tc>
        <w:tc>
          <w:tcPr>
            <w:tcW w:type="dxa" w:w="2000"/>
            <w:tcBorders>
              <w:top w:val="single" w:color="e8e4dc" w:sz="1"/>
              <w:left w:val="none" w:color="FFFFFF" w:sz="0"/>
              <w:bottom w:val="single" w:color="e8e4dc" w:sz="1"/>
              <w:right w:val="single" w:color="e8e4dc" w:sz="1"/>
            </w:tcBorders>
            <w:tcMar>
              <w:top w:type="dxa" w:w="80"/>
              <w:left w:type="dxa" w:w="120"/>
              <w:bottom w:type="dxa" w:w="80"/>
              <w:right w:type="dxa" w:w="120"/>
            </w:tcMar>
          </w:tcPr>
          <w:p>
            <w:pPr>
              <w:jc w:val="center"/>
            </w:pPr>
            <w:r>
              <w:rPr>
                <w:rFonts w:ascii="Calibri" w:cs="Calibri" w:eastAsia="Calibri" w:hAnsi="Calibri"/>
                <w:b/>
                <w:bCs/>
                <w:color w:val="C9A84C"/>
                <w:sz w:val="24"/>
                <w:szCs w:val="24"/>
              </w:rPr>
              <w:t xml:space="preserve">β = .34 – .51</w:t>
            </w:r>
          </w:p>
        </w:tc>
        <w:tc>
          <w:tcPr>
            <w:tcW w:type="dxa" w:w="4026"/>
            <w:tcBorders>
              <w:top w:val="single" w:color="e8e4dc" w:sz="1"/>
              <w:left w:val="none" w:color="FFFFFF" w:sz="0"/>
              <w:bottom w:val="single" w:color="e8e4dc" w:sz="1"/>
              <w:right w:val="none" w:color="FFFFFF" w:sz="0"/>
            </w:tcBorders>
            <w:tcMar>
              <w:top w:type="dxa" w:w="80"/>
              <w:left w:type="dxa" w:w="120"/>
              <w:bottom w:type="dxa" w:w="80"/>
              <w:right w:type="dxa" w:w="120"/>
            </w:tcMar>
          </w:tcPr>
          <w:p>
            <w:r>
              <w:rPr>
                <w:rFonts w:ascii="Calibri" w:cs="Calibri" w:eastAsia="Calibri" w:hAnsi="Calibri"/>
                <w:i/>
                <w:iCs/>
                <w:color w:val="555555"/>
                <w:sz w:val="18"/>
                <w:szCs w:val="18"/>
              </w:rPr>
              <w:t xml:space="preserve">Harzer &amp; Ruch, 2013 (N=214)</w:t>
            </w:r>
          </w:p>
        </w:tc>
      </w:tr>
      <w:tr>
        <w:tc>
          <w:tcPr>
            <w:tcW w:type="dxa" w:w="3000"/>
            <w:tcBorders>
              <w:top w:val="single" w:color="e8e4dc" w:sz="1"/>
              <w:left w:val="none" w:color="FFFFFF" w:sz="0"/>
              <w:bottom w:val="single" w:color="e8e4dc" w:sz="1"/>
              <w:right w:val="single" w:color="e8e4dc" w:sz="1"/>
            </w:tcBorders>
            <w:shd w:fill="F5F0E8" w:val="clear"/>
            <w:tcMar>
              <w:top w:type="dxa" w:w="80"/>
              <w:left w:type="dxa" w:w="120"/>
              <w:bottom w:type="dxa" w:w="80"/>
              <w:right w:type="dxa" w:w="120"/>
            </w:tcMar>
          </w:tcPr>
          <w:p>
            <w:r>
              <w:rPr>
                <w:rFonts w:ascii="Calibri" w:cs="Calibri" w:eastAsia="Calibri" w:hAnsi="Calibri"/>
                <w:b/>
                <w:bCs/>
                <w:color w:val="1A3A5C"/>
                <w:sz w:val="20"/>
                <w:szCs w:val="20"/>
              </w:rPr>
              <w:t xml:space="preserve">Strengths use → Job satisfaction</w:t>
            </w:r>
          </w:p>
        </w:tc>
        <w:tc>
          <w:tcPr>
            <w:tcW w:type="dxa" w:w="2000"/>
            <w:tcBorders>
              <w:top w:val="single" w:color="e8e4dc" w:sz="1"/>
              <w:left w:val="none" w:color="FFFFFF" w:sz="0"/>
              <w:bottom w:val="single" w:color="e8e4dc" w:sz="1"/>
              <w:right w:val="single" w:color="e8e4dc" w:sz="1"/>
            </w:tcBorders>
            <w:tcMar>
              <w:top w:type="dxa" w:w="80"/>
              <w:left w:type="dxa" w:w="120"/>
              <w:bottom w:type="dxa" w:w="80"/>
              <w:right w:type="dxa" w:w="120"/>
            </w:tcMar>
          </w:tcPr>
          <w:p>
            <w:pPr>
              <w:jc w:val="center"/>
            </w:pPr>
            <w:r>
              <w:rPr>
                <w:rFonts w:ascii="Calibri" w:cs="Calibri" w:eastAsia="Calibri" w:hAnsi="Calibri"/>
                <w:b/>
                <w:bCs/>
                <w:color w:val="C9A84C"/>
                <w:sz w:val="24"/>
                <w:szCs w:val="24"/>
              </w:rPr>
              <w:t xml:space="preserve">r = .46</w:t>
            </w:r>
          </w:p>
        </w:tc>
        <w:tc>
          <w:tcPr>
            <w:tcW w:type="dxa" w:w="4026"/>
            <w:tcBorders>
              <w:top w:val="single" w:color="e8e4dc" w:sz="1"/>
              <w:left w:val="none" w:color="FFFFFF" w:sz="0"/>
              <w:bottom w:val="single" w:color="e8e4dc" w:sz="1"/>
              <w:right w:val="none" w:color="FFFFFF" w:sz="0"/>
            </w:tcBorders>
            <w:tcMar>
              <w:top w:type="dxa" w:w="80"/>
              <w:left w:type="dxa" w:w="120"/>
              <w:bottom w:type="dxa" w:w="80"/>
              <w:right w:type="dxa" w:w="120"/>
            </w:tcMar>
          </w:tcPr>
          <w:p>
            <w:r>
              <w:rPr>
                <w:rFonts w:ascii="Calibri" w:cs="Calibri" w:eastAsia="Calibri" w:hAnsi="Calibri"/>
                <w:i/>
                <w:iCs/>
                <w:color w:val="555555"/>
                <w:sz w:val="18"/>
                <w:szCs w:val="18"/>
              </w:rPr>
              <w:t xml:space="preserve">Littman-Ovadia &amp; Steger, 2010</w:t>
            </w:r>
          </w:p>
        </w:tc>
      </w:tr>
      <w:tr>
        <w:tc>
          <w:tcPr>
            <w:tcW w:type="dxa" w:w="3000"/>
            <w:tcBorders>
              <w:top w:val="single" w:color="e8e4dc" w:sz="1"/>
              <w:left w:val="none" w:color="FFFFFF" w:sz="0"/>
              <w:bottom w:val="single" w:color="e8e4dc" w:sz="1"/>
              <w:right w:val="single" w:color="e8e4dc" w:sz="1"/>
            </w:tcBorders>
            <w:shd w:fill="F5F0E8" w:val="clear"/>
            <w:tcMar>
              <w:top w:type="dxa" w:w="80"/>
              <w:left w:type="dxa" w:w="120"/>
              <w:bottom w:type="dxa" w:w="80"/>
              <w:right w:type="dxa" w:w="120"/>
            </w:tcMar>
          </w:tcPr>
          <w:p>
            <w:r>
              <w:rPr>
                <w:rFonts w:ascii="Calibri" w:cs="Calibri" w:eastAsia="Calibri" w:hAnsi="Calibri"/>
                <w:b/>
                <w:bCs/>
                <w:color w:val="1A3A5C"/>
                <w:sz w:val="20"/>
                <w:szCs w:val="20"/>
              </w:rPr>
              <w:t xml:space="preserve">Employment rate (strengths-based)</w:t>
            </w:r>
          </w:p>
        </w:tc>
        <w:tc>
          <w:tcPr>
            <w:tcW w:type="dxa" w:w="2000"/>
            <w:tcBorders>
              <w:top w:val="single" w:color="e8e4dc" w:sz="1"/>
              <w:left w:val="none" w:color="FFFFFF" w:sz="0"/>
              <w:bottom w:val="single" w:color="e8e4dc" w:sz="1"/>
              <w:right w:val="single" w:color="e8e4dc" w:sz="1"/>
            </w:tcBorders>
            <w:tcMar>
              <w:top w:type="dxa" w:w="80"/>
              <w:left w:type="dxa" w:w="120"/>
              <w:bottom w:type="dxa" w:w="80"/>
              <w:right w:type="dxa" w:w="120"/>
            </w:tcMar>
          </w:tcPr>
          <w:p>
            <w:pPr>
              <w:jc w:val="center"/>
            </w:pPr>
            <w:r>
              <w:rPr>
                <w:rFonts w:ascii="Calibri" w:cs="Calibri" w:eastAsia="Calibri" w:hAnsi="Calibri"/>
                <w:b/>
                <w:bCs/>
                <w:color w:val="C9A84C"/>
                <w:sz w:val="24"/>
                <w:szCs w:val="24"/>
              </w:rPr>
              <w:t xml:space="preserve">80.6% vs 60%</w:t>
            </w:r>
          </w:p>
        </w:tc>
        <w:tc>
          <w:tcPr>
            <w:tcW w:type="dxa" w:w="4026"/>
            <w:tcBorders>
              <w:top w:val="single" w:color="e8e4dc" w:sz="1"/>
              <w:left w:val="none" w:color="FFFFFF" w:sz="0"/>
              <w:bottom w:val="single" w:color="e8e4dc" w:sz="1"/>
              <w:right w:val="none" w:color="FFFFFF" w:sz="0"/>
            </w:tcBorders>
            <w:tcMar>
              <w:top w:type="dxa" w:w="80"/>
              <w:left w:type="dxa" w:w="120"/>
              <w:bottom w:type="dxa" w:w="80"/>
              <w:right w:type="dxa" w:w="120"/>
            </w:tcMar>
          </w:tcPr>
          <w:p>
            <w:r>
              <w:rPr>
                <w:rFonts w:ascii="Calibri" w:cs="Calibri" w:eastAsia="Calibri" w:hAnsi="Calibri"/>
                <w:i/>
                <w:iCs/>
                <w:color w:val="555555"/>
                <w:sz w:val="18"/>
                <w:szCs w:val="18"/>
              </w:rPr>
              <w:t xml:space="preserve">Littman-Ovadia et al., 2014 (3-month follow-up)</w:t>
            </w:r>
          </w:p>
        </w:tc>
      </w:tr>
      <w:tr>
        <w:tc>
          <w:tcPr>
            <w:tcW w:type="dxa" w:w="3000"/>
            <w:tcBorders>
              <w:top w:val="single" w:color="e8e4dc" w:sz="1"/>
              <w:left w:val="none" w:color="FFFFFF" w:sz="0"/>
              <w:bottom w:val="single" w:color="e8e4dc" w:sz="1"/>
              <w:right w:val="single" w:color="e8e4dc" w:sz="1"/>
            </w:tcBorders>
            <w:shd w:fill="F5F0E8" w:val="clear"/>
            <w:tcMar>
              <w:top w:type="dxa" w:w="80"/>
              <w:left w:type="dxa" w:w="120"/>
              <w:bottom w:type="dxa" w:w="80"/>
              <w:right w:type="dxa" w:w="120"/>
            </w:tcMar>
          </w:tcPr>
          <w:p>
            <w:r>
              <w:rPr>
                <w:rFonts w:ascii="Calibri" w:cs="Calibri" w:eastAsia="Calibri" w:hAnsi="Calibri"/>
                <w:b/>
                <w:bCs/>
                <w:color w:val="1A3A5C"/>
                <w:sz w:val="20"/>
                <w:szCs w:val="20"/>
              </w:rPr>
              <w:t xml:space="preserve">Incremental validity over Big Five</w:t>
            </w:r>
          </w:p>
        </w:tc>
        <w:tc>
          <w:tcPr>
            <w:tcW w:type="dxa" w:w="2000"/>
            <w:tcBorders>
              <w:top w:val="single" w:color="e8e4dc" w:sz="1"/>
              <w:left w:val="none" w:color="FFFFFF" w:sz="0"/>
              <w:bottom w:val="single" w:color="e8e4dc" w:sz="1"/>
              <w:right w:val="single" w:color="e8e4dc" w:sz="1"/>
            </w:tcBorders>
            <w:tcMar>
              <w:top w:type="dxa" w:w="80"/>
              <w:left w:type="dxa" w:w="120"/>
              <w:bottom w:type="dxa" w:w="80"/>
              <w:right w:type="dxa" w:w="120"/>
            </w:tcMar>
          </w:tcPr>
          <w:p>
            <w:pPr>
              <w:jc w:val="center"/>
            </w:pPr>
            <w:r>
              <w:rPr>
                <w:rFonts w:ascii="Calibri" w:cs="Calibri" w:eastAsia="Calibri" w:hAnsi="Calibri"/>
                <w:b/>
                <w:bCs/>
                <w:color w:val="C9A84C"/>
                <w:sz w:val="24"/>
                <w:szCs w:val="24"/>
              </w:rPr>
              <w:t xml:space="preserve">ΔR² = .08</w:t>
            </w:r>
          </w:p>
        </w:tc>
        <w:tc>
          <w:tcPr>
            <w:tcW w:type="dxa" w:w="4026"/>
            <w:tcBorders>
              <w:top w:val="single" w:color="e8e4dc" w:sz="1"/>
              <w:left w:val="none" w:color="FFFFFF" w:sz="0"/>
              <w:bottom w:val="single" w:color="e8e4dc" w:sz="1"/>
              <w:right w:val="none" w:color="FFFFFF" w:sz="0"/>
            </w:tcBorders>
            <w:tcMar>
              <w:top w:type="dxa" w:w="80"/>
              <w:left w:type="dxa" w:w="120"/>
              <w:bottom w:type="dxa" w:w="80"/>
              <w:right w:type="dxa" w:w="120"/>
            </w:tcMar>
          </w:tcPr>
          <w:p>
            <w:r>
              <w:rPr>
                <w:rFonts w:ascii="Calibri" w:cs="Calibri" w:eastAsia="Calibri" w:hAnsi="Calibri"/>
                <w:i/>
                <w:iCs/>
                <w:color w:val="555555"/>
                <w:sz w:val="18"/>
                <w:szCs w:val="18"/>
              </w:rPr>
              <w:t xml:space="preserve">Harzer, Bezuglova &amp; Weber, 2021</w:t>
            </w:r>
          </w:p>
        </w:tc>
      </w:tr>
    </w:tbl>
    <w:p>
      <w:pPr>
        <w:spacing w:before="120"/>
      </w:pPr>
    </w:p>
    <w:p>
      <w:pPr>
        <w:spacing w:after="80" w:before="180"/>
      </w:pPr>
      <w:r>
        <w:rPr>
          <w:rFonts w:ascii="Calibri" w:cs="Calibri" w:eastAsia="Calibri" w:hAnsi="Calibri"/>
          <w:b/>
          <w:bCs/>
          <w:color w:val="8B6914"/>
          <w:sz w:val="22"/>
          <w:szCs w:val="22"/>
        </w:rPr>
        <w:t xml:space="preserve">Key References</w:t>
      </w:r>
    </w:p>
    <w:p>
      <w:pPr>
        <w:spacing w:after="30" w:before="30"/>
        <w:ind w:left="360" w:hanging="360"/>
      </w:pPr>
      <w:r>
        <w:rPr>
          <w:rFonts w:ascii="Calibri" w:cs="Calibri" w:eastAsia="Calibri" w:hAnsi="Calibri"/>
          <w:i/>
          <w:iCs/>
          <w:color w:val="555555"/>
          <w:sz w:val="18"/>
          <w:szCs w:val="18"/>
        </w:rPr>
        <w:t xml:space="preserve">Peterson, C., &amp; Seligman, M.E.P. (2004). Character strengths and virtues: A handbook and classification. Oxford University Press.</w:t>
      </w:r>
    </w:p>
    <w:p>
      <w:pPr>
        <w:spacing w:after="30" w:before="30"/>
        <w:ind w:left="360" w:hanging="360"/>
      </w:pPr>
      <w:r>
        <w:rPr>
          <w:rFonts w:ascii="Calibri" w:cs="Calibri" w:eastAsia="Calibri" w:hAnsi="Calibri"/>
          <w:i/>
          <w:iCs/>
          <w:color w:val="555555"/>
          <w:sz w:val="18"/>
          <w:szCs w:val="18"/>
        </w:rPr>
        <w:t xml:space="preserve">Harzer, C., &amp; Ruch, W. (2013). The application of signature character strengths and positive experiences at work. Journal of Happiness Studies, 14(3), 965–983.</w:t>
      </w:r>
    </w:p>
    <w:p>
      <w:pPr>
        <w:spacing w:after="30" w:before="30"/>
        <w:ind w:left="360" w:hanging="360"/>
      </w:pPr>
      <w:r>
        <w:rPr>
          <w:rFonts w:ascii="Calibri" w:cs="Calibri" w:eastAsia="Calibri" w:hAnsi="Calibri"/>
          <w:i/>
          <w:iCs/>
          <w:color w:val="555555"/>
          <w:sz w:val="18"/>
          <w:szCs w:val="18"/>
        </w:rPr>
        <w:t xml:space="preserve">Harzer, C., Bezuglova, N., &amp; Weber, M. (2021). Incremental validity of character strengths beyond GMA and the Big Five. Frontiers in Psychology, 12, 650735.</w:t>
      </w:r>
    </w:p>
    <w:p>
      <w:pPr>
        <w:spacing w:after="120" w:before="400"/>
      </w:pPr>
      <w:r>
        <w:rPr>
          <w:rFonts w:ascii="Calibri" w:cs="Calibri" w:eastAsia="Calibri" w:hAnsi="Calibri"/>
          <w:b/>
          <w:bCs/>
          <w:color w:val="1A3A5C"/>
          <w:sz w:val="32"/>
          <w:szCs w:val="32"/>
        </w:rPr>
        <w:t xml:space="preserve">5. Instrument 4: Work Values Assessment</w:t>
      </w:r>
    </w:p>
    <w:p>
      <w:pPr>
        <w:spacing w:after="100" w:before="280"/>
      </w:pPr>
      <w:r>
        <w:rPr>
          <w:rFonts w:ascii="Calibri" w:cs="Calibri" w:eastAsia="Calibri" w:hAnsi="Calibri"/>
          <w:b/>
          <w:bCs/>
          <w:color w:val="1A3A5C"/>
          <w:sz w:val="26"/>
          <w:szCs w:val="26"/>
        </w:rPr>
        <w:t xml:space="preserve">O*NET Work Importance Dimensions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9A84C" w:sz="1"/>
              <w:left w:val="single" w:color="C9A84C" w:sz="1"/>
              <w:bottom w:val="single" w:color="C9A84C" w:sz="1"/>
              <w:right w:val="single" w:color="C9A84C" w:sz="1"/>
            </w:tcBorders>
            <w:shd w:fill="F5F0E8" w:val="clear"/>
            <w:tcMar>
              <w:top w:type="dxa" w:w="120"/>
              <w:left w:type="dxa" w:w="200"/>
              <w:bottom w:type="dxa" w:w="120"/>
              <w:right w:type="dxa" w:w="200"/>
            </w:tcMar>
          </w:tcPr>
          <w:p>
            <w:pPr>
              <w:spacing w:after="80" w:before="0"/>
            </w:pPr>
            <w:r>
              <w:rPr>
                <w:rFonts w:ascii="Calibri" w:cs="Calibri" w:eastAsia="Calibri" w:hAnsi="Calibri"/>
                <w:b/>
                <w:bCs/>
                <w:color w:val="1A3A5C"/>
                <w:sz w:val="22"/>
                <w:szCs w:val="22"/>
              </w:rPr>
              <w:t xml:space="preserve">Instrument Summary</w:t>
            </w:r>
          </w:p>
          <w:p>
            <w:pPr>
              <w:spacing w:after="20" w:before="20"/>
            </w:pPr>
            <w:r>
              <w:rPr>
                <w:rFonts w:ascii="Calibri" w:cs="Calibri" w:eastAsia="Calibri" w:hAnsi="Calibri"/>
                <w:color w:val="333333"/>
                <w:sz w:val="20"/>
                <w:szCs w:val="20"/>
              </w:rPr>
              <w:t xml:space="preserve">Framework:    Theory of Work Adjustment (TWA) — Dawis &amp; Lofquist, University of Minnesota</w:t>
            </w:r>
          </w:p>
          <w:p>
            <w:pPr>
              <w:spacing w:after="20" w:before="20"/>
            </w:pPr>
            <w:r>
              <w:rPr>
                <w:rFonts w:ascii="Calibri" w:cs="Calibri" w:eastAsia="Calibri" w:hAnsi="Calibri"/>
                <w:color w:val="333333"/>
                <w:sz w:val="20"/>
                <w:szCs w:val="20"/>
              </w:rPr>
              <w:t xml:space="preserve">Origin:       1964 (Minnesota Studies in Vocational Rehabilitation)</w:t>
            </w:r>
          </w:p>
          <w:p>
            <w:pPr>
              <w:spacing w:after="20" w:before="20"/>
            </w:pPr>
            <w:r>
              <w:rPr>
                <w:rFonts w:ascii="Calibri" w:cs="Calibri" w:eastAsia="Calibri" w:hAnsi="Calibri"/>
                <w:color w:val="333333"/>
                <w:sz w:val="20"/>
                <w:szCs w:val="20"/>
              </w:rPr>
              <w:t xml:space="preserve">Item domains: Based on O*NET Work Importance Profiler (U.S. Dept. of Labor)</w:t>
            </w:r>
          </w:p>
          <w:p>
            <w:pPr>
              <w:spacing w:after="20" w:before="20"/>
            </w:pPr>
            <w:r>
              <w:rPr>
                <w:rFonts w:ascii="Calibri" w:cs="Calibri" w:eastAsia="Calibri" w:hAnsi="Calibri"/>
                <w:color w:val="333333"/>
                <w:sz w:val="20"/>
                <w:szCs w:val="20"/>
              </w:rPr>
              <w:t xml:space="preserve">In use since: 1964 (60+ years of research)</w:t>
            </w:r>
          </w:p>
          <w:p>
            <w:pPr>
              <w:spacing w:after="20" w:before="20"/>
            </w:pPr>
            <w:r>
              <w:rPr>
                <w:rFonts w:ascii="Calibri" w:cs="Calibri" w:eastAsia="Calibri" w:hAnsi="Calibri"/>
                <w:color w:val="333333"/>
                <w:sz w:val="20"/>
                <w:szCs w:val="20"/>
              </w:rPr>
              <w:t xml:space="preserve">Used by:      U.S. Dept. of Labor O*NET system, occupational psychologists worldwide</w:t>
            </w:r>
          </w:p>
        </w:tc>
      </w:tr>
    </w:tbl>
    <w:p>
      <w:pPr>
        <w:spacing w:before="160"/>
      </w:pPr>
    </w:p>
    <w:p>
      <w:pPr>
        <w:spacing w:after="80" w:before="180"/>
      </w:pPr>
      <w:r>
        <w:rPr>
          <w:rFonts w:ascii="Calibri" w:cs="Calibri" w:eastAsia="Calibri" w:hAnsi="Calibri"/>
          <w:b/>
          <w:bCs/>
          <w:color w:val="8B6914"/>
          <w:sz w:val="22"/>
          <w:szCs w:val="22"/>
        </w:rPr>
        <w:t xml:space="preserve">Academic Provenance</w:t>
      </w:r>
    </w:p>
    <w:p>
      <w:pPr>
        <w:spacing w:after="60" w:before="60"/>
        <w:jc w:val="left"/>
      </w:pPr>
      <w:r>
        <w:rPr>
          <w:rFonts w:ascii="Calibri" w:cs="Calibri" w:eastAsia="Calibri" w:hAnsi="Calibri"/>
          <w:b w:val="false"/>
          <w:bCs w:val="false"/>
          <w:i w:val="false"/>
          <w:iCs w:val="false"/>
          <w:color w:val="333333"/>
          <w:sz w:val="22"/>
          <w:szCs w:val="22"/>
        </w:rPr>
        <w:t xml:space="preserve">The Theory of Work Adjustment (TWA), developed by René Dawis and Lloyd Lofquist at the University of Minnesota, posits that career satisfaction depends on the correspondence between a person's work values (what they need from work) and the reinforcers available in a given occupation. The six work value dimensions — Achievement, Independence, Recognition, Relationships, Support, and Working Conditions — are derived from factor analysis of the Minnesota Importance Questionnaire and form the basis of the U.S. Department of Labor's O*NET Work Importance Profiler.</w:t>
      </w:r>
    </w:p>
    <w:p>
      <w:pPr>
        <w:spacing w:after="80" w:before="180"/>
      </w:pPr>
      <w:r>
        <w:rPr>
          <w:rFonts w:ascii="Calibri" w:cs="Calibri" w:eastAsia="Calibri" w:hAnsi="Calibri"/>
          <w:b/>
          <w:bCs/>
          <w:color w:val="8B6914"/>
          <w:sz w:val="22"/>
          <w:szCs w:val="22"/>
        </w:rPr>
        <w:t xml:space="preserve">Validity Evidence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2000"/>
        <w:gridCol w:w="4026"/>
      </w:tblGrid>
      <w:tr>
        <w:tc>
          <w:tcPr>
            <w:tcW w:type="dxa" w:w="3000"/>
            <w:tcBorders>
              <w:top w:val="single" w:color="e8e4dc" w:sz="1"/>
              <w:left w:val="none" w:color="FFFFFF" w:sz="0"/>
              <w:bottom w:val="single" w:color="e8e4dc" w:sz="1"/>
              <w:right w:val="single" w:color="e8e4dc" w:sz="1"/>
            </w:tcBorders>
            <w:shd w:fill="F5F0E8" w:val="clear"/>
            <w:tcMar>
              <w:top w:type="dxa" w:w="80"/>
              <w:left w:type="dxa" w:w="120"/>
              <w:bottom w:type="dxa" w:w="80"/>
              <w:right w:type="dxa" w:w="120"/>
            </w:tcMar>
          </w:tcPr>
          <w:p>
            <w:r>
              <w:rPr>
                <w:rFonts w:ascii="Calibri" w:cs="Calibri" w:eastAsia="Calibri" w:hAnsi="Calibri"/>
                <w:b/>
                <w:bCs/>
                <w:color w:val="1A3A5C"/>
                <w:sz w:val="20"/>
                <w:szCs w:val="20"/>
              </w:rPr>
              <w:t xml:space="preserve">Values–satisfaction correspondence</w:t>
            </w:r>
          </w:p>
        </w:tc>
        <w:tc>
          <w:tcPr>
            <w:tcW w:type="dxa" w:w="2000"/>
            <w:tcBorders>
              <w:top w:val="single" w:color="e8e4dc" w:sz="1"/>
              <w:left w:val="none" w:color="FFFFFF" w:sz="0"/>
              <w:bottom w:val="single" w:color="e8e4dc" w:sz="1"/>
              <w:right w:val="single" w:color="e8e4dc" w:sz="1"/>
            </w:tcBorders>
            <w:tcMar>
              <w:top w:type="dxa" w:w="80"/>
              <w:left w:type="dxa" w:w="120"/>
              <w:bottom w:type="dxa" w:w="80"/>
              <w:right w:type="dxa" w:w="120"/>
            </w:tcMar>
          </w:tcPr>
          <w:p>
            <w:pPr>
              <w:jc w:val="center"/>
            </w:pPr>
            <w:r>
              <w:rPr>
                <w:rFonts w:ascii="Calibri" w:cs="Calibri" w:eastAsia="Calibri" w:hAnsi="Calibri"/>
                <w:b/>
                <w:bCs/>
                <w:color w:val="C9A84C"/>
                <w:sz w:val="24"/>
                <w:szCs w:val="24"/>
              </w:rPr>
              <w:t xml:space="preserve">ρ = .61</w:t>
            </w:r>
          </w:p>
        </w:tc>
        <w:tc>
          <w:tcPr>
            <w:tcW w:type="dxa" w:w="4026"/>
            <w:tcBorders>
              <w:top w:val="single" w:color="e8e4dc" w:sz="1"/>
              <w:left w:val="none" w:color="FFFFFF" w:sz="0"/>
              <w:bottom w:val="single" w:color="e8e4dc" w:sz="1"/>
              <w:right w:val="none" w:color="FFFFFF" w:sz="0"/>
            </w:tcBorders>
            <w:tcMar>
              <w:top w:type="dxa" w:w="80"/>
              <w:left w:type="dxa" w:w="120"/>
              <w:bottom w:type="dxa" w:w="80"/>
              <w:right w:type="dxa" w:w="120"/>
            </w:tcMar>
          </w:tcPr>
          <w:p>
            <w:r>
              <w:rPr>
                <w:rFonts w:ascii="Calibri" w:cs="Calibri" w:eastAsia="Calibri" w:hAnsi="Calibri"/>
                <w:i/>
                <w:iCs/>
                <w:color w:val="555555"/>
                <w:sz w:val="18"/>
                <w:szCs w:val="18"/>
              </w:rPr>
              <w:t xml:space="preserve">Kristof-Brown et al., 2005 (N=172 studies)</w:t>
            </w:r>
          </w:p>
        </w:tc>
      </w:tr>
      <w:tr>
        <w:tc>
          <w:tcPr>
            <w:tcW w:type="dxa" w:w="3000"/>
            <w:tcBorders>
              <w:top w:val="single" w:color="e8e4dc" w:sz="1"/>
              <w:left w:val="none" w:color="FFFFFF" w:sz="0"/>
              <w:bottom w:val="single" w:color="e8e4dc" w:sz="1"/>
              <w:right w:val="single" w:color="e8e4dc" w:sz="1"/>
            </w:tcBorders>
            <w:shd w:fill="F5F0E8" w:val="clear"/>
            <w:tcMar>
              <w:top w:type="dxa" w:w="80"/>
              <w:left w:type="dxa" w:w="120"/>
              <w:bottom w:type="dxa" w:w="80"/>
              <w:right w:type="dxa" w:w="120"/>
            </w:tcMar>
          </w:tcPr>
          <w:p>
            <w:r>
              <w:rPr>
                <w:rFonts w:ascii="Calibri" w:cs="Calibri" w:eastAsia="Calibri" w:hAnsi="Calibri"/>
                <w:b/>
                <w:bCs/>
                <w:color w:val="1A3A5C"/>
                <w:sz w:val="20"/>
                <w:szCs w:val="20"/>
              </w:rPr>
              <w:t xml:space="preserve">Values → Job satisfaction (women)</w:t>
            </w:r>
          </w:p>
        </w:tc>
        <w:tc>
          <w:tcPr>
            <w:tcW w:type="dxa" w:w="2000"/>
            <w:tcBorders>
              <w:top w:val="single" w:color="e8e4dc" w:sz="1"/>
              <w:left w:val="none" w:color="FFFFFF" w:sz="0"/>
              <w:bottom w:val="single" w:color="e8e4dc" w:sz="1"/>
              <w:right w:val="single" w:color="e8e4dc" w:sz="1"/>
            </w:tcBorders>
            <w:tcMar>
              <w:top w:type="dxa" w:w="80"/>
              <w:left w:type="dxa" w:w="120"/>
              <w:bottom w:type="dxa" w:w="80"/>
              <w:right w:type="dxa" w:w="120"/>
            </w:tcMar>
          </w:tcPr>
          <w:p>
            <w:pPr>
              <w:jc w:val="center"/>
            </w:pPr>
            <w:r>
              <w:rPr>
                <w:rFonts w:ascii="Calibri" w:cs="Calibri" w:eastAsia="Calibri" w:hAnsi="Calibri"/>
                <w:b/>
                <w:bCs/>
                <w:color w:val="C9A84C"/>
                <w:sz w:val="24"/>
                <w:szCs w:val="24"/>
              </w:rPr>
              <w:t xml:space="preserve">r = .29 – .54</w:t>
            </w:r>
          </w:p>
        </w:tc>
        <w:tc>
          <w:tcPr>
            <w:tcW w:type="dxa" w:w="4026"/>
            <w:tcBorders>
              <w:top w:val="single" w:color="e8e4dc" w:sz="1"/>
              <w:left w:val="none" w:color="FFFFFF" w:sz="0"/>
              <w:bottom w:val="single" w:color="e8e4dc" w:sz="1"/>
              <w:right w:val="none" w:color="FFFFFF" w:sz="0"/>
            </w:tcBorders>
            <w:tcMar>
              <w:top w:type="dxa" w:w="80"/>
              <w:left w:type="dxa" w:w="120"/>
              <w:bottom w:type="dxa" w:w="80"/>
              <w:right w:type="dxa" w:w="120"/>
            </w:tcMar>
          </w:tcPr>
          <w:p>
            <w:r>
              <w:rPr>
                <w:rFonts w:ascii="Calibri" w:cs="Calibri" w:eastAsia="Calibri" w:hAnsi="Calibri"/>
                <w:i/>
                <w:iCs/>
                <w:color w:val="555555"/>
                <w:sz w:val="18"/>
                <w:szCs w:val="18"/>
              </w:rPr>
              <w:t xml:space="preserve">Rounds, 1990 (N=225 clients)</w:t>
            </w:r>
          </w:p>
        </w:tc>
      </w:tr>
      <w:tr>
        <w:tc>
          <w:tcPr>
            <w:tcW w:type="dxa" w:w="3000"/>
            <w:tcBorders>
              <w:top w:val="single" w:color="e8e4dc" w:sz="1"/>
              <w:left w:val="none" w:color="FFFFFF" w:sz="0"/>
              <w:bottom w:val="single" w:color="e8e4dc" w:sz="1"/>
              <w:right w:val="single" w:color="e8e4dc" w:sz="1"/>
            </w:tcBorders>
            <w:shd w:fill="F5F0E8" w:val="clear"/>
            <w:tcMar>
              <w:top w:type="dxa" w:w="80"/>
              <w:left w:type="dxa" w:w="120"/>
              <w:bottom w:type="dxa" w:w="80"/>
              <w:right w:type="dxa" w:w="120"/>
            </w:tcMar>
          </w:tcPr>
          <w:p>
            <w:r>
              <w:rPr>
                <w:rFonts w:ascii="Calibri" w:cs="Calibri" w:eastAsia="Calibri" w:hAnsi="Calibri"/>
                <w:b/>
                <w:bCs/>
                <w:color w:val="1A3A5C"/>
                <w:sz w:val="20"/>
                <w:szCs w:val="20"/>
              </w:rPr>
              <w:t xml:space="preserve">P-E Fit → Turnover intention</w:t>
            </w:r>
          </w:p>
        </w:tc>
        <w:tc>
          <w:tcPr>
            <w:tcW w:type="dxa" w:w="2000"/>
            <w:tcBorders>
              <w:top w:val="single" w:color="e8e4dc" w:sz="1"/>
              <w:left w:val="none" w:color="FFFFFF" w:sz="0"/>
              <w:bottom w:val="single" w:color="e8e4dc" w:sz="1"/>
              <w:right w:val="single" w:color="e8e4dc" w:sz="1"/>
            </w:tcBorders>
            <w:tcMar>
              <w:top w:type="dxa" w:w="80"/>
              <w:left w:type="dxa" w:w="120"/>
              <w:bottom w:type="dxa" w:w="80"/>
              <w:right w:type="dxa" w:w="120"/>
            </w:tcMar>
          </w:tcPr>
          <w:p>
            <w:pPr>
              <w:jc w:val="center"/>
            </w:pPr>
            <w:r>
              <w:rPr>
                <w:rFonts w:ascii="Calibri" w:cs="Calibri" w:eastAsia="Calibri" w:hAnsi="Calibri"/>
                <w:b/>
                <w:bCs/>
                <w:color w:val="C9A84C"/>
                <w:sz w:val="24"/>
                <w:szCs w:val="24"/>
              </w:rPr>
              <w:t xml:space="preserve">ρ = −.35</w:t>
            </w:r>
          </w:p>
        </w:tc>
        <w:tc>
          <w:tcPr>
            <w:tcW w:type="dxa" w:w="4026"/>
            <w:tcBorders>
              <w:top w:val="single" w:color="e8e4dc" w:sz="1"/>
              <w:left w:val="none" w:color="FFFFFF" w:sz="0"/>
              <w:bottom w:val="single" w:color="e8e4dc" w:sz="1"/>
              <w:right w:val="none" w:color="FFFFFF" w:sz="0"/>
            </w:tcBorders>
            <w:tcMar>
              <w:top w:type="dxa" w:w="80"/>
              <w:left w:type="dxa" w:w="120"/>
              <w:bottom w:type="dxa" w:w="80"/>
              <w:right w:type="dxa" w:w="120"/>
            </w:tcMar>
          </w:tcPr>
          <w:p>
            <w:r>
              <w:rPr>
                <w:rFonts w:ascii="Calibri" w:cs="Calibri" w:eastAsia="Calibri" w:hAnsi="Calibri"/>
                <w:i/>
                <w:iCs/>
                <w:color w:val="555555"/>
                <w:sz w:val="18"/>
                <w:szCs w:val="18"/>
              </w:rPr>
              <w:t xml:space="preserve">Kristof-Brown et al., 2005 meta-analysis</w:t>
            </w:r>
          </w:p>
        </w:tc>
      </w:tr>
      <w:tr>
        <w:tc>
          <w:tcPr>
            <w:tcW w:type="dxa" w:w="3000"/>
            <w:tcBorders>
              <w:top w:val="single" w:color="e8e4dc" w:sz="1"/>
              <w:left w:val="none" w:color="FFFFFF" w:sz="0"/>
              <w:bottom w:val="single" w:color="e8e4dc" w:sz="1"/>
              <w:right w:val="single" w:color="e8e4dc" w:sz="1"/>
            </w:tcBorders>
            <w:shd w:fill="F5F0E8" w:val="clear"/>
            <w:tcMar>
              <w:top w:type="dxa" w:w="80"/>
              <w:left w:type="dxa" w:w="120"/>
              <w:bottom w:type="dxa" w:w="80"/>
              <w:right w:type="dxa" w:w="120"/>
            </w:tcMar>
          </w:tcPr>
          <w:p>
            <w:r>
              <w:rPr>
                <w:rFonts w:ascii="Calibri" w:cs="Calibri" w:eastAsia="Calibri" w:hAnsi="Calibri"/>
                <w:b/>
                <w:bCs/>
                <w:color w:val="1A3A5C"/>
                <w:sz w:val="20"/>
                <w:szCs w:val="20"/>
              </w:rPr>
              <w:t xml:space="preserve">TWA predictive validity</w:t>
            </w:r>
          </w:p>
        </w:tc>
        <w:tc>
          <w:tcPr>
            <w:tcW w:type="dxa" w:w="2000"/>
            <w:tcBorders>
              <w:top w:val="single" w:color="e8e4dc" w:sz="1"/>
              <w:left w:val="none" w:color="FFFFFF" w:sz="0"/>
              <w:bottom w:val="single" w:color="e8e4dc" w:sz="1"/>
              <w:right w:val="single" w:color="e8e4dc" w:sz="1"/>
            </w:tcBorders>
            <w:tcMar>
              <w:top w:type="dxa" w:w="80"/>
              <w:left w:type="dxa" w:w="120"/>
              <w:bottom w:type="dxa" w:w="80"/>
              <w:right w:type="dxa" w:w="120"/>
            </w:tcMar>
          </w:tcPr>
          <w:p>
            <w:pPr>
              <w:jc w:val="center"/>
            </w:pPr>
            <w:r>
              <w:rPr>
                <w:rFonts w:ascii="Calibri" w:cs="Calibri" w:eastAsia="Calibri" w:hAnsi="Calibri"/>
                <w:b/>
                <w:bCs/>
                <w:color w:val="C9A84C"/>
                <w:sz w:val="24"/>
                <w:szCs w:val="24"/>
              </w:rPr>
              <w:t xml:space="preserve">3–30%</w:t>
            </w:r>
          </w:p>
        </w:tc>
        <w:tc>
          <w:tcPr>
            <w:tcW w:type="dxa" w:w="4026"/>
            <w:tcBorders>
              <w:top w:val="single" w:color="e8e4dc" w:sz="1"/>
              <w:left w:val="none" w:color="FFFFFF" w:sz="0"/>
              <w:bottom w:val="single" w:color="e8e4dc" w:sz="1"/>
              <w:right w:val="none" w:color="FFFFFF" w:sz="0"/>
            </w:tcBorders>
            <w:tcMar>
              <w:top w:type="dxa" w:w="80"/>
              <w:left w:type="dxa" w:w="120"/>
              <w:bottom w:type="dxa" w:w="80"/>
              <w:right w:type="dxa" w:w="120"/>
            </w:tcMar>
          </w:tcPr>
          <w:p>
            <w:r>
              <w:rPr>
                <w:rFonts w:ascii="Calibri" w:cs="Calibri" w:eastAsia="Calibri" w:hAnsi="Calibri"/>
                <w:i/>
                <w:iCs/>
                <w:color w:val="555555"/>
                <w:sz w:val="18"/>
                <w:szCs w:val="18"/>
              </w:rPr>
              <w:t xml:space="preserve">Variance in satisfaction explained (Rounds et al., 1987)</w:t>
            </w:r>
          </w:p>
        </w:tc>
      </w:tr>
    </w:tbl>
    <w:p>
      <w:pPr>
        <w:spacing w:before="120"/>
      </w:pPr>
    </w:p>
    <w:p>
      <w:pPr>
        <w:spacing w:after="80" w:before="180"/>
      </w:pPr>
      <w:r>
        <w:rPr>
          <w:rFonts w:ascii="Calibri" w:cs="Calibri" w:eastAsia="Calibri" w:hAnsi="Calibri"/>
          <w:b/>
          <w:bCs/>
          <w:color w:val="8B6914"/>
          <w:sz w:val="22"/>
          <w:szCs w:val="22"/>
        </w:rPr>
        <w:t xml:space="preserve">Key References</w:t>
      </w:r>
    </w:p>
    <w:p>
      <w:pPr>
        <w:spacing w:after="30" w:before="30"/>
        <w:ind w:left="360" w:hanging="360"/>
      </w:pPr>
      <w:r>
        <w:rPr>
          <w:rFonts w:ascii="Calibri" w:cs="Calibri" w:eastAsia="Calibri" w:hAnsi="Calibri"/>
          <w:i/>
          <w:iCs/>
          <w:color w:val="555555"/>
          <w:sz w:val="18"/>
          <w:szCs w:val="18"/>
        </w:rPr>
        <w:t xml:space="preserve">Dawis, R.V., &amp; Lofquist, L.H. (1984). A psychological theory of work adjustment. University of Minnesota Press.</w:t>
      </w:r>
    </w:p>
    <w:p>
      <w:pPr>
        <w:spacing w:after="30" w:before="30"/>
        <w:ind w:left="360" w:hanging="360"/>
      </w:pPr>
      <w:r>
        <w:rPr>
          <w:rFonts w:ascii="Calibri" w:cs="Calibri" w:eastAsia="Calibri" w:hAnsi="Calibri"/>
          <w:i/>
          <w:iCs/>
          <w:color w:val="555555"/>
          <w:sz w:val="18"/>
          <w:szCs w:val="18"/>
        </w:rPr>
        <w:t xml:space="preserve">Kristof-Brown, A.L., Zimmerman, R.D., &amp; Johnson, E.C. (2005). Consequences of individuals' fit at work. Personnel Psychology, 58(2), 281–342.</w:t>
      </w:r>
    </w:p>
    <w:p>
      <w:pPr>
        <w:spacing w:after="30" w:before="30"/>
        <w:ind w:left="360" w:hanging="360"/>
      </w:pPr>
      <w:r>
        <w:rPr>
          <w:rFonts w:ascii="Calibri" w:cs="Calibri" w:eastAsia="Calibri" w:hAnsi="Calibri"/>
          <w:i/>
          <w:iCs/>
          <w:color w:val="555555"/>
          <w:sz w:val="18"/>
          <w:szCs w:val="18"/>
        </w:rPr>
        <w:t xml:space="preserve">Rounds, J.B. (1990). The comparative and combined utility of work value and interest data in career counselling. Journal of Vocational Behavior, 37(1), 32–45.</w:t>
      </w:r>
    </w:p>
    <w:p>
      <w:pPr>
        <w:spacing w:after="120" w:before="400"/>
      </w:pPr>
      <w:r>
        <w:rPr>
          <w:rFonts w:ascii="Calibri" w:cs="Calibri" w:eastAsia="Calibri" w:hAnsi="Calibri"/>
          <w:b/>
          <w:bCs/>
          <w:color w:val="1A3A5C"/>
          <w:sz w:val="32"/>
          <w:szCs w:val="32"/>
        </w:rPr>
        <w:t xml:space="preserve">6. Instrument 5: Cognitive Ability Assessment</w:t>
      </w:r>
    </w:p>
    <w:p>
      <w:pPr>
        <w:spacing w:after="100" w:before="280"/>
      </w:pPr>
      <w:r>
        <w:rPr>
          <w:rFonts w:ascii="Calibri" w:cs="Calibri" w:eastAsia="Calibri" w:hAnsi="Calibri"/>
          <w:b/>
          <w:bCs/>
          <w:color w:val="1A3A5C"/>
          <w:sz w:val="26"/>
          <w:szCs w:val="26"/>
        </w:rPr>
        <w:t xml:space="preserve">International Cognitive Ability Resource (ICAR)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9A84C" w:sz="1"/>
              <w:left w:val="single" w:color="C9A84C" w:sz="1"/>
              <w:bottom w:val="single" w:color="C9A84C" w:sz="1"/>
              <w:right w:val="single" w:color="C9A84C" w:sz="1"/>
            </w:tcBorders>
            <w:shd w:fill="F5F0E8" w:val="clear"/>
            <w:tcMar>
              <w:top w:type="dxa" w:w="120"/>
              <w:left w:type="dxa" w:w="200"/>
              <w:bottom w:type="dxa" w:w="120"/>
              <w:right w:type="dxa" w:w="200"/>
            </w:tcMar>
          </w:tcPr>
          <w:p>
            <w:pPr>
              <w:spacing w:after="80" w:before="0"/>
            </w:pPr>
            <w:r>
              <w:rPr>
                <w:rFonts w:ascii="Calibri" w:cs="Calibri" w:eastAsia="Calibri" w:hAnsi="Calibri"/>
                <w:b/>
                <w:bCs/>
                <w:color w:val="1A3A5C"/>
                <w:sz w:val="22"/>
                <w:szCs w:val="22"/>
              </w:rPr>
              <w:t xml:space="preserve">Instrument Summary</w:t>
            </w:r>
          </w:p>
          <w:p>
            <w:pPr>
              <w:spacing w:after="20" w:before="20"/>
            </w:pPr>
            <w:r>
              <w:rPr>
                <w:rFonts w:ascii="Calibri" w:cs="Calibri" w:eastAsia="Calibri" w:hAnsi="Calibri"/>
                <w:color w:val="333333"/>
                <w:sz w:val="20"/>
                <w:szCs w:val="20"/>
              </w:rPr>
              <w:t xml:space="preserve">Framework:    General Mental Ability (g-factor) + Specific Cognitive Abilities</w:t>
            </w:r>
          </w:p>
          <w:p>
            <w:pPr>
              <w:spacing w:after="20" w:before="20"/>
            </w:pPr>
            <w:r>
              <w:rPr>
                <w:rFonts w:ascii="Calibri" w:cs="Calibri" w:eastAsia="Calibri" w:hAnsi="Calibri"/>
                <w:color w:val="333333"/>
                <w:sz w:val="20"/>
                <w:szCs w:val="20"/>
              </w:rPr>
              <w:t xml:space="preserve">Origin:       Condon &amp; Revelle, Northwestern University, 2014</w:t>
            </w:r>
          </w:p>
          <w:p>
            <w:pPr>
              <w:spacing w:after="20" w:before="20"/>
            </w:pPr>
            <w:r>
              <w:rPr>
                <w:rFonts w:ascii="Calibri" w:cs="Calibri" w:eastAsia="Calibri" w:hAnsi="Calibri"/>
                <w:color w:val="333333"/>
                <w:sz w:val="20"/>
                <w:szCs w:val="20"/>
              </w:rPr>
              <w:t xml:space="preserve">Status:       Described as public-domain in peer-reviewed publication</w:t>
            </w:r>
          </w:p>
          <w:p>
            <w:pPr>
              <w:spacing w:after="20" w:before="20"/>
            </w:pPr>
            <w:r>
              <w:rPr>
                <w:rFonts w:ascii="Calibri" w:cs="Calibri" w:eastAsia="Calibri" w:hAnsi="Calibri"/>
                <w:color w:val="333333"/>
                <w:sz w:val="20"/>
                <w:szCs w:val="20"/>
              </w:rPr>
              <w:t xml:space="preserve">Validation:   r = .81 with WAIS-IV full-scale IQ (Young &amp; Keith, 2020)</w:t>
            </w:r>
          </w:p>
          <w:p>
            <w:pPr>
              <w:spacing w:after="20" w:before="20"/>
            </w:pPr>
            <w:r>
              <w:rPr>
                <w:rFonts w:ascii="Calibri" w:cs="Calibri" w:eastAsia="Calibri" w:hAnsi="Calibri"/>
                <w:color w:val="333333"/>
                <w:sz w:val="20"/>
                <w:szCs w:val="20"/>
              </w:rPr>
              <w:t xml:space="preserve">Measures:     Verbal reasoning, numerical reasoning, abstract/matrix reasoning, spatial reasoning</w:t>
            </w:r>
          </w:p>
        </w:tc>
      </w:tr>
    </w:tbl>
    <w:p>
      <w:pPr>
        <w:spacing w:before="160"/>
      </w:pPr>
    </w:p>
    <w:p>
      <w:pPr>
        <w:spacing w:after="80" w:before="180"/>
      </w:pPr>
      <w:r>
        <w:rPr>
          <w:rFonts w:ascii="Calibri" w:cs="Calibri" w:eastAsia="Calibri" w:hAnsi="Calibri"/>
          <w:b/>
          <w:bCs/>
          <w:color w:val="8B6914"/>
          <w:sz w:val="22"/>
          <w:szCs w:val="22"/>
        </w:rPr>
        <w:t xml:space="preserve">Academic Provenance</w:t>
      </w:r>
    </w:p>
    <w:p>
      <w:pPr>
        <w:spacing w:after="60" w:before="60"/>
        <w:jc w:val="left"/>
      </w:pPr>
      <w:r>
        <w:rPr>
          <w:rFonts w:ascii="Calibri" w:cs="Calibri" w:eastAsia="Calibri" w:hAnsi="Calibri"/>
          <w:b w:val="false"/>
          <w:bCs w:val="false"/>
          <w:i w:val="false"/>
          <w:iCs w:val="false"/>
          <w:color w:val="333333"/>
          <w:sz w:val="22"/>
          <w:szCs w:val="22"/>
        </w:rPr>
        <w:t xml:space="preserve">ICAR was developed by David Condon and William Revelle at Northwestern University and published in the peer-reviewed journal Intelligence (2014). It was explicitly designed to address the lack of publicly available, remotely administrable cognitive ability measures for large-scale research. The instrument has been used in over 200 peer-reviewed studies and validated across multiple languages and cultures.</w:t>
      </w:r>
    </w:p>
    <w:p>
      <w:pPr>
        <w:spacing w:after="60" w:before="60"/>
        <w:jc w:val="left"/>
      </w:pPr>
      <w:r>
        <w:rPr>
          <w:rFonts w:ascii="Calibri" w:cs="Calibri" w:eastAsia="Calibri" w:hAnsi="Calibri"/>
          <w:b w:val="false"/>
          <w:bCs w:val="false"/>
          <w:i w:val="false"/>
          <w:iCs w:val="false"/>
          <w:color w:val="333333"/>
          <w:sz w:val="22"/>
          <w:szCs w:val="22"/>
        </w:rPr>
        <w:t xml:space="preserve">The ICAR measures four item types that together estimate general mental ability (g): Letter-Number Series (fluid reasoning), Verbal Reasoning, Matrix Reasoning (abstract), and Three-Dimensional Rotation (spatial). Combined with other career assessment instruments, cognitive ability adds predictive validity for job performance and training success.</w:t>
      </w:r>
    </w:p>
    <w:p>
      <w:pPr>
        <w:spacing w:after="80" w:before="180"/>
      </w:pPr>
      <w:r>
        <w:rPr>
          <w:rFonts w:ascii="Calibri" w:cs="Calibri" w:eastAsia="Calibri" w:hAnsi="Calibri"/>
          <w:b/>
          <w:bCs/>
          <w:color w:val="8B6914"/>
          <w:sz w:val="22"/>
          <w:szCs w:val="22"/>
        </w:rPr>
        <w:t xml:space="preserve">Why Cognitive Ability Matters for Career Assessment</w:t>
      </w:r>
    </w:p>
    <w:p>
      <w:pPr>
        <w:spacing w:after="60" w:before="60"/>
        <w:jc w:val="left"/>
      </w:pPr>
      <w:r>
        <w:rPr>
          <w:rFonts w:ascii="Calibri" w:cs="Calibri" w:eastAsia="Calibri" w:hAnsi="Calibri"/>
          <w:b w:val="false"/>
          <w:bCs w:val="false"/>
          <w:i w:val="false"/>
          <w:iCs w:val="false"/>
          <w:color w:val="333333"/>
          <w:sz w:val="22"/>
          <w:szCs w:val="22"/>
        </w:rPr>
        <w:t xml:space="preserve">General mental ability is one of the strongest predictors of job performance across occupational categories (Schmidt &amp; Hunter, 1998). Specific cognitive abilities add incremental validity when matched to occupational requirements: spatial ability predicts success in STEM and technical fields; numerical reasoning predicts performance in finance and analytical roles; verbal reasoning predicts success in law, management, and communication-intensive careers (Wai, Lubinski &amp; Benbow, 2009).</w:t>
      </w:r>
    </w:p>
    <w:p>
      <w:pPr>
        <w:spacing w:after="80" w:before="180"/>
      </w:pPr>
      <w:r>
        <w:rPr>
          <w:rFonts w:ascii="Calibri" w:cs="Calibri" w:eastAsia="Calibri" w:hAnsi="Calibri"/>
          <w:b/>
          <w:bCs/>
          <w:color w:val="8B6914"/>
          <w:sz w:val="22"/>
          <w:szCs w:val="22"/>
        </w:rPr>
        <w:t xml:space="preserve">Validity Evidence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2000"/>
        <w:gridCol w:w="4026"/>
      </w:tblGrid>
      <w:tr>
        <w:tc>
          <w:tcPr>
            <w:tcW w:type="dxa" w:w="3000"/>
            <w:tcBorders>
              <w:top w:val="single" w:color="e8e4dc" w:sz="1"/>
              <w:left w:val="none" w:color="FFFFFF" w:sz="0"/>
              <w:bottom w:val="single" w:color="e8e4dc" w:sz="1"/>
              <w:right w:val="single" w:color="e8e4dc" w:sz="1"/>
            </w:tcBorders>
            <w:shd w:fill="F5F0E8" w:val="clear"/>
            <w:tcMar>
              <w:top w:type="dxa" w:w="80"/>
              <w:left w:type="dxa" w:w="120"/>
              <w:bottom w:type="dxa" w:w="80"/>
              <w:right w:type="dxa" w:w="120"/>
            </w:tcMar>
          </w:tcPr>
          <w:p>
            <w:r>
              <w:rPr>
                <w:rFonts w:ascii="Calibri" w:cs="Calibri" w:eastAsia="Calibri" w:hAnsi="Calibri"/>
                <w:b/>
                <w:bCs/>
                <w:color w:val="1A3A5C"/>
                <w:sz w:val="20"/>
                <w:szCs w:val="20"/>
              </w:rPr>
              <w:t xml:space="preserve">ICAR-16 vs WAIS-IV IQ</w:t>
            </w:r>
          </w:p>
        </w:tc>
        <w:tc>
          <w:tcPr>
            <w:tcW w:type="dxa" w:w="2000"/>
            <w:tcBorders>
              <w:top w:val="single" w:color="e8e4dc" w:sz="1"/>
              <w:left w:val="none" w:color="FFFFFF" w:sz="0"/>
              <w:bottom w:val="single" w:color="e8e4dc" w:sz="1"/>
              <w:right w:val="single" w:color="e8e4dc" w:sz="1"/>
            </w:tcBorders>
            <w:tcMar>
              <w:top w:type="dxa" w:w="80"/>
              <w:left w:type="dxa" w:w="120"/>
              <w:bottom w:type="dxa" w:w="80"/>
              <w:right w:type="dxa" w:w="120"/>
            </w:tcMar>
          </w:tcPr>
          <w:p>
            <w:pPr>
              <w:jc w:val="center"/>
            </w:pPr>
            <w:r>
              <w:rPr>
                <w:rFonts w:ascii="Calibri" w:cs="Calibri" w:eastAsia="Calibri" w:hAnsi="Calibri"/>
                <w:b/>
                <w:bCs/>
                <w:color w:val="C9A84C"/>
                <w:sz w:val="24"/>
                <w:szCs w:val="24"/>
              </w:rPr>
              <w:t xml:space="preserve">r = .81</w:t>
            </w:r>
          </w:p>
        </w:tc>
        <w:tc>
          <w:tcPr>
            <w:tcW w:type="dxa" w:w="4026"/>
            <w:tcBorders>
              <w:top w:val="single" w:color="e8e4dc" w:sz="1"/>
              <w:left w:val="none" w:color="FFFFFF" w:sz="0"/>
              <w:bottom w:val="single" w:color="e8e4dc" w:sz="1"/>
              <w:right w:val="none" w:color="FFFFFF" w:sz="0"/>
            </w:tcBorders>
            <w:tcMar>
              <w:top w:type="dxa" w:w="80"/>
              <w:left w:type="dxa" w:w="120"/>
              <w:bottom w:type="dxa" w:w="80"/>
              <w:right w:type="dxa" w:w="120"/>
            </w:tcMar>
          </w:tcPr>
          <w:p>
            <w:r>
              <w:rPr>
                <w:rFonts w:ascii="Calibri" w:cs="Calibri" w:eastAsia="Calibri" w:hAnsi="Calibri"/>
                <w:i/>
                <w:iCs/>
                <w:color w:val="555555"/>
                <w:sz w:val="18"/>
                <w:szCs w:val="18"/>
              </w:rPr>
              <w:t xml:space="preserve">Young &amp; Keith, 2020 (Journal of Psychoed. Assessment)</w:t>
            </w:r>
          </w:p>
        </w:tc>
      </w:tr>
      <w:tr>
        <w:tc>
          <w:tcPr>
            <w:tcW w:type="dxa" w:w="3000"/>
            <w:tcBorders>
              <w:top w:val="single" w:color="e8e4dc" w:sz="1"/>
              <w:left w:val="none" w:color="FFFFFF" w:sz="0"/>
              <w:bottom w:val="single" w:color="e8e4dc" w:sz="1"/>
              <w:right w:val="single" w:color="e8e4dc" w:sz="1"/>
            </w:tcBorders>
            <w:shd w:fill="F5F0E8" w:val="clear"/>
            <w:tcMar>
              <w:top w:type="dxa" w:w="80"/>
              <w:left w:type="dxa" w:w="120"/>
              <w:bottom w:type="dxa" w:w="80"/>
              <w:right w:type="dxa" w:w="120"/>
            </w:tcMar>
          </w:tcPr>
          <w:p>
            <w:r>
              <w:rPr>
                <w:rFonts w:ascii="Calibri" w:cs="Calibri" w:eastAsia="Calibri" w:hAnsi="Calibri"/>
                <w:b/>
                <w:bCs/>
                <w:color w:val="1A3A5C"/>
                <w:sz w:val="20"/>
                <w:szCs w:val="20"/>
              </w:rPr>
              <w:t xml:space="preserve">Internal consistency (α)</w:t>
            </w:r>
          </w:p>
        </w:tc>
        <w:tc>
          <w:tcPr>
            <w:tcW w:type="dxa" w:w="2000"/>
            <w:tcBorders>
              <w:top w:val="single" w:color="e8e4dc" w:sz="1"/>
              <w:left w:val="none" w:color="FFFFFF" w:sz="0"/>
              <w:bottom w:val="single" w:color="e8e4dc" w:sz="1"/>
              <w:right w:val="single" w:color="e8e4dc" w:sz="1"/>
            </w:tcBorders>
            <w:tcMar>
              <w:top w:type="dxa" w:w="80"/>
              <w:left w:type="dxa" w:w="120"/>
              <w:bottom w:type="dxa" w:w="80"/>
              <w:right w:type="dxa" w:w="120"/>
            </w:tcMar>
          </w:tcPr>
          <w:p>
            <w:pPr>
              <w:jc w:val="center"/>
            </w:pPr>
            <w:r>
              <w:rPr>
                <w:rFonts w:ascii="Calibri" w:cs="Calibri" w:eastAsia="Calibri" w:hAnsi="Calibri"/>
                <w:b/>
                <w:bCs/>
                <w:color w:val="C9A84C"/>
                <w:sz w:val="24"/>
                <w:szCs w:val="24"/>
              </w:rPr>
              <w:t xml:space="preserve">.81 (16-item)</w:t>
            </w:r>
          </w:p>
        </w:tc>
        <w:tc>
          <w:tcPr>
            <w:tcW w:type="dxa" w:w="4026"/>
            <w:tcBorders>
              <w:top w:val="single" w:color="e8e4dc" w:sz="1"/>
              <w:left w:val="none" w:color="FFFFFF" w:sz="0"/>
              <w:bottom w:val="single" w:color="e8e4dc" w:sz="1"/>
              <w:right w:val="none" w:color="FFFFFF" w:sz="0"/>
            </w:tcBorders>
            <w:tcMar>
              <w:top w:type="dxa" w:w="80"/>
              <w:left w:type="dxa" w:w="120"/>
              <w:bottom w:type="dxa" w:w="80"/>
              <w:right w:type="dxa" w:w="120"/>
            </w:tcMar>
          </w:tcPr>
          <w:p>
            <w:r>
              <w:rPr>
                <w:rFonts w:ascii="Calibri" w:cs="Calibri" w:eastAsia="Calibri" w:hAnsi="Calibri"/>
                <w:i/>
                <w:iCs/>
                <w:color w:val="555555"/>
                <w:sz w:val="18"/>
                <w:szCs w:val="18"/>
              </w:rPr>
              <w:t xml:space="preserve">Condon &amp; Revelle, 2014 (N=96,958)</w:t>
            </w:r>
          </w:p>
        </w:tc>
      </w:tr>
      <w:tr>
        <w:tc>
          <w:tcPr>
            <w:tcW w:type="dxa" w:w="3000"/>
            <w:tcBorders>
              <w:top w:val="single" w:color="e8e4dc" w:sz="1"/>
              <w:left w:val="none" w:color="FFFFFF" w:sz="0"/>
              <w:bottom w:val="single" w:color="e8e4dc" w:sz="1"/>
              <w:right w:val="single" w:color="e8e4dc" w:sz="1"/>
            </w:tcBorders>
            <w:shd w:fill="F5F0E8" w:val="clear"/>
            <w:tcMar>
              <w:top w:type="dxa" w:w="80"/>
              <w:left w:type="dxa" w:w="120"/>
              <w:bottom w:type="dxa" w:w="80"/>
              <w:right w:type="dxa" w:w="120"/>
            </w:tcMar>
          </w:tcPr>
          <w:p>
            <w:r>
              <w:rPr>
                <w:rFonts w:ascii="Calibri" w:cs="Calibri" w:eastAsia="Calibri" w:hAnsi="Calibri"/>
                <w:b/>
                <w:bCs/>
                <w:color w:val="1A3A5C"/>
                <w:sz w:val="20"/>
                <w:szCs w:val="20"/>
              </w:rPr>
              <w:t xml:space="preserve">GMA → Job performance</w:t>
            </w:r>
          </w:p>
        </w:tc>
        <w:tc>
          <w:tcPr>
            <w:tcW w:type="dxa" w:w="2000"/>
            <w:tcBorders>
              <w:top w:val="single" w:color="e8e4dc" w:sz="1"/>
              <w:left w:val="none" w:color="FFFFFF" w:sz="0"/>
              <w:bottom w:val="single" w:color="e8e4dc" w:sz="1"/>
              <w:right w:val="single" w:color="e8e4dc" w:sz="1"/>
            </w:tcBorders>
            <w:tcMar>
              <w:top w:type="dxa" w:w="80"/>
              <w:left w:type="dxa" w:w="120"/>
              <w:bottom w:type="dxa" w:w="80"/>
              <w:right w:type="dxa" w:w="120"/>
            </w:tcMar>
          </w:tcPr>
          <w:p>
            <w:pPr>
              <w:jc w:val="center"/>
            </w:pPr>
            <w:r>
              <w:rPr>
                <w:rFonts w:ascii="Calibri" w:cs="Calibri" w:eastAsia="Calibri" w:hAnsi="Calibri"/>
                <w:b/>
                <w:bCs/>
                <w:color w:val="C9A84C"/>
                <w:sz w:val="24"/>
                <w:szCs w:val="24"/>
              </w:rPr>
              <w:t xml:space="preserve">r = .31 – .51</w:t>
            </w:r>
          </w:p>
        </w:tc>
        <w:tc>
          <w:tcPr>
            <w:tcW w:type="dxa" w:w="4026"/>
            <w:tcBorders>
              <w:top w:val="single" w:color="e8e4dc" w:sz="1"/>
              <w:left w:val="none" w:color="FFFFFF" w:sz="0"/>
              <w:bottom w:val="single" w:color="e8e4dc" w:sz="1"/>
              <w:right w:val="none" w:color="FFFFFF" w:sz="0"/>
            </w:tcBorders>
            <w:tcMar>
              <w:top w:type="dxa" w:w="80"/>
              <w:left w:type="dxa" w:w="120"/>
              <w:bottom w:type="dxa" w:w="80"/>
              <w:right w:type="dxa" w:w="120"/>
            </w:tcMar>
          </w:tcPr>
          <w:p>
            <w:r>
              <w:rPr>
                <w:rFonts w:ascii="Calibri" w:cs="Calibri" w:eastAsia="Calibri" w:hAnsi="Calibri"/>
                <w:i/>
                <w:iCs/>
                <w:color w:val="555555"/>
                <w:sz w:val="18"/>
                <w:szCs w:val="18"/>
              </w:rPr>
              <w:t xml:space="preserve">Schmidt &amp; Hunter, 1998; Sackett et al., 2022</w:t>
            </w:r>
          </w:p>
        </w:tc>
      </w:tr>
      <w:tr>
        <w:tc>
          <w:tcPr>
            <w:tcW w:type="dxa" w:w="3000"/>
            <w:tcBorders>
              <w:top w:val="single" w:color="e8e4dc" w:sz="1"/>
              <w:left w:val="none" w:color="FFFFFF" w:sz="0"/>
              <w:bottom w:val="single" w:color="e8e4dc" w:sz="1"/>
              <w:right w:val="single" w:color="e8e4dc" w:sz="1"/>
            </w:tcBorders>
            <w:shd w:fill="F5F0E8" w:val="clear"/>
            <w:tcMar>
              <w:top w:type="dxa" w:w="80"/>
              <w:left w:type="dxa" w:w="120"/>
              <w:bottom w:type="dxa" w:w="80"/>
              <w:right w:type="dxa" w:w="120"/>
            </w:tcMar>
          </w:tcPr>
          <w:p>
            <w:r>
              <w:rPr>
                <w:rFonts w:ascii="Calibri" w:cs="Calibri" w:eastAsia="Calibri" w:hAnsi="Calibri"/>
                <w:b/>
                <w:bCs/>
                <w:color w:val="1A3A5C"/>
                <w:sz w:val="20"/>
                <w:szCs w:val="20"/>
              </w:rPr>
              <w:t xml:space="preserve">Spatial ability → STEM outcomes</w:t>
            </w:r>
          </w:p>
        </w:tc>
        <w:tc>
          <w:tcPr>
            <w:tcW w:type="dxa" w:w="2000"/>
            <w:tcBorders>
              <w:top w:val="single" w:color="e8e4dc" w:sz="1"/>
              <w:left w:val="none" w:color="FFFFFF" w:sz="0"/>
              <w:bottom w:val="single" w:color="e8e4dc" w:sz="1"/>
              <w:right w:val="single" w:color="e8e4dc" w:sz="1"/>
            </w:tcBorders>
            <w:tcMar>
              <w:top w:type="dxa" w:w="80"/>
              <w:left w:type="dxa" w:w="120"/>
              <w:bottom w:type="dxa" w:w="80"/>
              <w:right w:type="dxa" w:w="120"/>
            </w:tcMar>
          </w:tcPr>
          <w:p>
            <w:pPr>
              <w:jc w:val="center"/>
            </w:pPr>
            <w:r>
              <w:rPr>
                <w:rFonts w:ascii="Calibri" w:cs="Calibri" w:eastAsia="Calibri" w:hAnsi="Calibri"/>
                <w:b/>
                <w:bCs/>
                <w:color w:val="C9A84C"/>
                <w:sz w:val="24"/>
                <w:szCs w:val="24"/>
              </w:rPr>
              <w:t xml:space="preserve">ΔR² = .076</w:t>
            </w:r>
          </w:p>
        </w:tc>
        <w:tc>
          <w:tcPr>
            <w:tcW w:type="dxa" w:w="4026"/>
            <w:tcBorders>
              <w:top w:val="single" w:color="e8e4dc" w:sz="1"/>
              <w:left w:val="none" w:color="FFFFFF" w:sz="0"/>
              <w:bottom w:val="single" w:color="e8e4dc" w:sz="1"/>
              <w:right w:val="none" w:color="FFFFFF" w:sz="0"/>
            </w:tcBorders>
            <w:tcMar>
              <w:top w:type="dxa" w:w="80"/>
              <w:left w:type="dxa" w:w="120"/>
              <w:bottom w:type="dxa" w:w="80"/>
              <w:right w:type="dxa" w:w="120"/>
            </w:tcMar>
          </w:tcPr>
          <w:p>
            <w:r>
              <w:rPr>
                <w:rFonts w:ascii="Calibri" w:cs="Calibri" w:eastAsia="Calibri" w:hAnsi="Calibri"/>
                <w:i/>
                <w:iCs/>
                <w:color w:val="555555"/>
                <w:sz w:val="18"/>
                <w:szCs w:val="18"/>
              </w:rPr>
              <w:t xml:space="preserve">Kell, Lubinski, Benbow &amp; Steiger, 2013</w:t>
            </w:r>
          </w:p>
        </w:tc>
      </w:tr>
      <w:tr>
        <w:tc>
          <w:tcPr>
            <w:tcW w:type="dxa" w:w="3000"/>
            <w:tcBorders>
              <w:top w:val="single" w:color="e8e4dc" w:sz="1"/>
              <w:left w:val="none" w:color="FFFFFF" w:sz="0"/>
              <w:bottom w:val="single" w:color="e8e4dc" w:sz="1"/>
              <w:right w:val="single" w:color="e8e4dc" w:sz="1"/>
            </w:tcBorders>
            <w:shd w:fill="F5F0E8" w:val="clear"/>
            <w:tcMar>
              <w:top w:type="dxa" w:w="80"/>
              <w:left w:type="dxa" w:w="120"/>
              <w:bottom w:type="dxa" w:w="80"/>
              <w:right w:type="dxa" w:w="120"/>
            </w:tcMar>
          </w:tcPr>
          <w:p>
            <w:r>
              <w:rPr>
                <w:rFonts w:ascii="Calibri" w:cs="Calibri" w:eastAsia="Calibri" w:hAnsi="Calibri"/>
                <w:b/>
                <w:bCs/>
                <w:color w:val="1A3A5C"/>
                <w:sz w:val="20"/>
                <w:szCs w:val="20"/>
              </w:rPr>
              <w:t xml:space="preserve">Studies using ICAR</w:t>
            </w:r>
          </w:p>
        </w:tc>
        <w:tc>
          <w:tcPr>
            <w:tcW w:type="dxa" w:w="2000"/>
            <w:tcBorders>
              <w:top w:val="single" w:color="e8e4dc" w:sz="1"/>
              <w:left w:val="none" w:color="FFFFFF" w:sz="0"/>
              <w:bottom w:val="single" w:color="e8e4dc" w:sz="1"/>
              <w:right w:val="single" w:color="e8e4dc" w:sz="1"/>
            </w:tcBorders>
            <w:tcMar>
              <w:top w:type="dxa" w:w="80"/>
              <w:left w:type="dxa" w:w="120"/>
              <w:bottom w:type="dxa" w:w="80"/>
              <w:right w:type="dxa" w:w="120"/>
            </w:tcMar>
          </w:tcPr>
          <w:p>
            <w:pPr>
              <w:jc w:val="center"/>
            </w:pPr>
            <w:r>
              <w:rPr>
                <w:rFonts w:ascii="Calibri" w:cs="Calibri" w:eastAsia="Calibri" w:hAnsi="Calibri"/>
                <w:b/>
                <w:bCs/>
                <w:color w:val="C9A84C"/>
                <w:sz w:val="24"/>
                <w:szCs w:val="24"/>
              </w:rPr>
              <w:t xml:space="preserve">200+</w:t>
            </w:r>
          </w:p>
        </w:tc>
        <w:tc>
          <w:tcPr>
            <w:tcW w:type="dxa" w:w="4026"/>
            <w:tcBorders>
              <w:top w:val="single" w:color="e8e4dc" w:sz="1"/>
              <w:left w:val="none" w:color="FFFFFF" w:sz="0"/>
              <w:bottom w:val="single" w:color="e8e4dc" w:sz="1"/>
              <w:right w:val="none" w:color="FFFFFF" w:sz="0"/>
            </w:tcBorders>
            <w:tcMar>
              <w:top w:type="dxa" w:w="80"/>
              <w:left w:type="dxa" w:w="120"/>
              <w:bottom w:type="dxa" w:w="80"/>
              <w:right w:type="dxa" w:w="120"/>
            </w:tcMar>
          </w:tcPr>
          <w:p>
            <w:r>
              <w:rPr>
                <w:rFonts w:ascii="Calibri" w:cs="Calibri" w:eastAsia="Calibri" w:hAnsi="Calibri"/>
                <w:i/>
                <w:iCs/>
                <w:color w:val="555555"/>
                <w:sz w:val="18"/>
                <w:szCs w:val="18"/>
              </w:rPr>
              <w:t xml:space="preserve">As of 2024, peer-reviewed publications</w:t>
            </w:r>
          </w:p>
        </w:tc>
      </w:tr>
    </w:tbl>
    <w:p>
      <w:pPr>
        <w:spacing w:before="120"/>
      </w:pPr>
    </w:p>
    <w:p>
      <w:pPr>
        <w:spacing w:after="80" w:before="180"/>
      </w:pPr>
      <w:r>
        <w:rPr>
          <w:rFonts w:ascii="Calibri" w:cs="Calibri" w:eastAsia="Calibri" w:hAnsi="Calibri"/>
          <w:b/>
          <w:bCs/>
          <w:color w:val="8B6914"/>
          <w:sz w:val="22"/>
          <w:szCs w:val="22"/>
        </w:rPr>
        <w:t xml:space="preserve">Key References</w:t>
      </w:r>
    </w:p>
    <w:p>
      <w:pPr>
        <w:spacing w:after="30" w:before="30"/>
        <w:ind w:left="360" w:hanging="360"/>
      </w:pPr>
      <w:r>
        <w:rPr>
          <w:rFonts w:ascii="Calibri" w:cs="Calibri" w:eastAsia="Calibri" w:hAnsi="Calibri"/>
          <w:i/>
          <w:iCs/>
          <w:color w:val="555555"/>
          <w:sz w:val="18"/>
          <w:szCs w:val="18"/>
        </w:rPr>
        <w:t xml:space="preserve">Condon, D.M., &amp; Revelle, W. (2014). The international cognitive ability resource: Development and initial validation of a public-domain measure. Intelligence, 43, 52–64.</w:t>
      </w:r>
    </w:p>
    <w:p>
      <w:pPr>
        <w:spacing w:after="30" w:before="30"/>
        <w:ind w:left="360" w:hanging="360"/>
      </w:pPr>
      <w:r>
        <w:rPr>
          <w:rFonts w:ascii="Calibri" w:cs="Calibri" w:eastAsia="Calibri" w:hAnsi="Calibri"/>
          <w:i/>
          <w:iCs/>
          <w:color w:val="555555"/>
          <w:sz w:val="18"/>
          <w:szCs w:val="18"/>
        </w:rPr>
        <w:t xml:space="preserve">Young, S.K., &amp; Keith, T.Z. (2020). An examination of the convergent validity of the ICAR16 and WAIS-IV. Journal of Psychoeducational Assessment, 38(8), 1052–1059.</w:t>
      </w:r>
    </w:p>
    <w:p>
      <w:pPr>
        <w:spacing w:after="30" w:before="30"/>
        <w:ind w:left="360" w:hanging="360"/>
      </w:pPr>
      <w:r>
        <w:rPr>
          <w:rFonts w:ascii="Calibri" w:cs="Calibri" w:eastAsia="Calibri" w:hAnsi="Calibri"/>
          <w:i/>
          <w:iCs/>
          <w:color w:val="555555"/>
          <w:sz w:val="18"/>
          <w:szCs w:val="18"/>
        </w:rPr>
        <w:t xml:space="preserve">Schmidt, F.L., &amp; Hunter, J.E. (1998). The validity and utility of selection methods in personnel psychology. Psychological Bulletin, 124(2), 262–274.</w:t>
      </w:r>
    </w:p>
    <w:p>
      <w:pPr>
        <w:spacing w:after="30" w:before="30"/>
        <w:ind w:left="360" w:hanging="360"/>
      </w:pPr>
      <w:r>
        <w:rPr>
          <w:rFonts w:ascii="Calibri" w:cs="Calibri" w:eastAsia="Calibri" w:hAnsi="Calibri"/>
          <w:i/>
          <w:iCs/>
          <w:color w:val="555555"/>
          <w:sz w:val="18"/>
          <w:szCs w:val="18"/>
        </w:rPr>
        <w:t xml:space="preserve">Wai, J., Lubinski, D., &amp; Benbow, C.P. (2009). Spatial ability for STEM domains. Journal of Educational Psychology, 101(4), 817–835.</w:t>
      </w:r>
    </w:p>
    <w:p>
      <w:pPr>
        <w:spacing w:after="120" w:before="400"/>
      </w:pPr>
      <w:r>
        <w:rPr>
          <w:rFonts w:ascii="Calibri" w:cs="Calibri" w:eastAsia="Calibri" w:hAnsi="Calibri"/>
          <w:b/>
          <w:bCs/>
          <w:color w:val="1A3A5C"/>
          <w:sz w:val="32"/>
          <w:szCs w:val="32"/>
        </w:rPr>
        <w:t xml:space="preserve">7. Multi-Instrument Battery: Why Four Constructs?</w:t>
      </w:r>
    </w:p>
    <w:p>
      <w:pPr>
        <w:spacing w:after="60" w:before="60"/>
        <w:jc w:val="left"/>
      </w:pPr>
      <w:r>
        <w:rPr>
          <w:rFonts w:ascii="Calibri" w:cs="Calibri" w:eastAsia="Calibri" w:hAnsi="Calibri"/>
          <w:b w:val="false"/>
          <w:bCs w:val="false"/>
          <w:i w:val="false"/>
          <w:iCs w:val="false"/>
          <w:color w:val="333333"/>
          <w:sz w:val="22"/>
          <w:szCs w:val="22"/>
        </w:rPr>
        <w:t xml:space="preserve">The scientific rationale for combining interests, personality, strengths, and values into a single battery is grounded in the Person-Environment Fit (P-E Fit) framework and supported by empirical evidence for incremental validity — each construct adds predictive power beyond what any single instrument can provide.</w:t>
      </w:r>
    </w:p>
    <w:p>
      <w:pPr>
        <w:spacing w:before="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2000"/>
        <w:gridCol w:w="4026"/>
      </w:tblGrid>
      <w:tr>
        <w:tc>
          <w:tcPr>
            <w:tcW w:type="dxa" w:w="3000"/>
            <w:tcBorders>
              <w:top w:val="single" w:color="e8e4dc" w:sz="1"/>
              <w:left w:val="none" w:color="FFFFFF" w:sz="0"/>
              <w:bottom w:val="single" w:color="e8e4dc" w:sz="1"/>
              <w:right w:val="single" w:color="e8e4dc" w:sz="1"/>
            </w:tcBorders>
            <w:shd w:fill="F5F0E8" w:val="clear"/>
            <w:tcMar>
              <w:top w:type="dxa" w:w="80"/>
              <w:left w:type="dxa" w:w="120"/>
              <w:bottom w:type="dxa" w:w="80"/>
              <w:right w:type="dxa" w:w="120"/>
            </w:tcMar>
          </w:tcPr>
          <w:p>
            <w:r>
              <w:rPr>
                <w:rFonts w:ascii="Calibri" w:cs="Calibri" w:eastAsia="Calibri" w:hAnsi="Calibri"/>
                <w:b/>
                <w:bCs/>
                <w:color w:val="1A3A5C"/>
                <w:sz w:val="20"/>
                <w:szCs w:val="20"/>
              </w:rPr>
              <w:t xml:space="preserve">RIASEC + Big Five</w:t>
            </w:r>
          </w:p>
        </w:tc>
        <w:tc>
          <w:tcPr>
            <w:tcW w:type="dxa" w:w="2000"/>
            <w:tcBorders>
              <w:top w:val="single" w:color="e8e4dc" w:sz="1"/>
              <w:left w:val="none" w:color="FFFFFF" w:sz="0"/>
              <w:bottom w:val="single" w:color="e8e4dc" w:sz="1"/>
              <w:right w:val="single" w:color="e8e4dc" w:sz="1"/>
            </w:tcBorders>
            <w:tcMar>
              <w:top w:type="dxa" w:w="80"/>
              <w:left w:type="dxa" w:w="120"/>
              <w:bottom w:type="dxa" w:w="80"/>
              <w:right w:type="dxa" w:w="120"/>
            </w:tcMar>
          </w:tcPr>
          <w:p>
            <w:pPr>
              <w:jc w:val="center"/>
            </w:pPr>
            <w:r>
              <w:rPr>
                <w:rFonts w:ascii="Calibri" w:cs="Calibri" w:eastAsia="Calibri" w:hAnsi="Calibri"/>
                <w:b/>
                <w:bCs/>
                <w:color w:val="C9A84C"/>
                <w:sz w:val="24"/>
                <w:szCs w:val="24"/>
              </w:rPr>
              <w:t xml:space="preserve">Distinct constructs</w:t>
            </w:r>
          </w:p>
        </w:tc>
        <w:tc>
          <w:tcPr>
            <w:tcW w:type="dxa" w:w="4026"/>
            <w:tcBorders>
              <w:top w:val="single" w:color="e8e4dc" w:sz="1"/>
              <w:left w:val="none" w:color="FFFFFF" w:sz="0"/>
              <w:bottom w:val="single" w:color="e8e4dc" w:sz="1"/>
              <w:right w:val="none" w:color="FFFFFF" w:sz="0"/>
            </w:tcBorders>
            <w:tcMar>
              <w:top w:type="dxa" w:w="80"/>
              <w:left w:type="dxa" w:w="120"/>
              <w:bottom w:type="dxa" w:w="80"/>
              <w:right w:type="dxa" w:w="120"/>
            </w:tcMar>
          </w:tcPr>
          <w:p>
            <w:r>
              <w:rPr>
                <w:rFonts w:ascii="Calibri" w:cs="Calibri" w:eastAsia="Calibri" w:hAnsi="Calibri"/>
                <w:i/>
                <w:iCs/>
                <w:color w:val="555555"/>
                <w:sz w:val="18"/>
                <w:szCs w:val="18"/>
              </w:rPr>
              <w:t xml:space="preserve">Hurtado Rúa et al., 2019: correlations .08–.41</w:t>
            </w:r>
          </w:p>
        </w:tc>
      </w:tr>
      <w:tr>
        <w:tc>
          <w:tcPr>
            <w:tcW w:type="dxa" w:w="3000"/>
            <w:tcBorders>
              <w:top w:val="single" w:color="e8e4dc" w:sz="1"/>
              <w:left w:val="none" w:color="FFFFFF" w:sz="0"/>
              <w:bottom w:val="single" w:color="e8e4dc" w:sz="1"/>
              <w:right w:val="single" w:color="e8e4dc" w:sz="1"/>
            </w:tcBorders>
            <w:shd w:fill="F5F0E8" w:val="clear"/>
            <w:tcMar>
              <w:top w:type="dxa" w:w="80"/>
              <w:left w:type="dxa" w:w="120"/>
              <w:bottom w:type="dxa" w:w="80"/>
              <w:right w:type="dxa" w:w="120"/>
            </w:tcMar>
          </w:tcPr>
          <w:p>
            <w:r>
              <w:rPr>
                <w:rFonts w:ascii="Calibri" w:cs="Calibri" w:eastAsia="Calibri" w:hAnsi="Calibri"/>
                <w:b/>
                <w:bCs/>
                <w:color w:val="1A3A5C"/>
                <w:sz w:val="20"/>
                <w:szCs w:val="20"/>
              </w:rPr>
              <w:t xml:space="preserve">Values beyond interests</w:t>
            </w:r>
          </w:p>
        </w:tc>
        <w:tc>
          <w:tcPr>
            <w:tcW w:type="dxa" w:w="2000"/>
            <w:tcBorders>
              <w:top w:val="single" w:color="e8e4dc" w:sz="1"/>
              <w:left w:val="none" w:color="FFFFFF" w:sz="0"/>
              <w:bottom w:val="single" w:color="e8e4dc" w:sz="1"/>
              <w:right w:val="single" w:color="e8e4dc" w:sz="1"/>
            </w:tcBorders>
            <w:tcMar>
              <w:top w:type="dxa" w:w="80"/>
              <w:left w:type="dxa" w:w="120"/>
              <w:bottom w:type="dxa" w:w="80"/>
              <w:right w:type="dxa" w:w="120"/>
            </w:tcMar>
          </w:tcPr>
          <w:p>
            <w:pPr>
              <w:jc w:val="center"/>
            </w:pPr>
            <w:r>
              <w:rPr>
                <w:rFonts w:ascii="Calibri" w:cs="Calibri" w:eastAsia="Calibri" w:hAnsi="Calibri"/>
                <w:b/>
                <w:bCs/>
                <w:color w:val="C9A84C"/>
                <w:sz w:val="24"/>
                <w:szCs w:val="24"/>
              </w:rPr>
              <w:t xml:space="preserve">ΔR² significant</w:t>
            </w:r>
          </w:p>
        </w:tc>
        <w:tc>
          <w:tcPr>
            <w:tcW w:type="dxa" w:w="4026"/>
            <w:tcBorders>
              <w:top w:val="single" w:color="e8e4dc" w:sz="1"/>
              <w:left w:val="none" w:color="FFFFFF" w:sz="0"/>
              <w:bottom w:val="single" w:color="e8e4dc" w:sz="1"/>
              <w:right w:val="none" w:color="FFFFFF" w:sz="0"/>
            </w:tcBorders>
            <w:tcMar>
              <w:top w:type="dxa" w:w="80"/>
              <w:left w:type="dxa" w:w="120"/>
              <w:bottom w:type="dxa" w:w="80"/>
              <w:right w:type="dxa" w:w="120"/>
            </w:tcMar>
          </w:tcPr>
          <w:p>
            <w:r>
              <w:rPr>
                <w:rFonts w:ascii="Calibri" w:cs="Calibri" w:eastAsia="Calibri" w:hAnsi="Calibri"/>
                <w:i/>
                <w:iCs/>
                <w:color w:val="555555"/>
                <w:sz w:val="18"/>
                <w:szCs w:val="18"/>
              </w:rPr>
              <w:t xml:space="preserve">Rounds, 1990: values explain 4–30% satisfaction</w:t>
            </w:r>
          </w:p>
        </w:tc>
      </w:tr>
      <w:tr>
        <w:tc>
          <w:tcPr>
            <w:tcW w:type="dxa" w:w="3000"/>
            <w:tcBorders>
              <w:top w:val="single" w:color="e8e4dc" w:sz="1"/>
              <w:left w:val="none" w:color="FFFFFF" w:sz="0"/>
              <w:bottom w:val="single" w:color="e8e4dc" w:sz="1"/>
              <w:right w:val="single" w:color="e8e4dc" w:sz="1"/>
            </w:tcBorders>
            <w:shd w:fill="F5F0E8" w:val="clear"/>
            <w:tcMar>
              <w:top w:type="dxa" w:w="80"/>
              <w:left w:type="dxa" w:w="120"/>
              <w:bottom w:type="dxa" w:w="80"/>
              <w:right w:type="dxa" w:w="120"/>
            </w:tcMar>
          </w:tcPr>
          <w:p>
            <w:r>
              <w:rPr>
                <w:rFonts w:ascii="Calibri" w:cs="Calibri" w:eastAsia="Calibri" w:hAnsi="Calibri"/>
                <w:b/>
                <w:bCs/>
                <w:color w:val="1A3A5C"/>
                <w:sz w:val="20"/>
                <w:szCs w:val="20"/>
              </w:rPr>
              <w:t xml:space="preserve">Strengths beyond Big Five</w:t>
            </w:r>
          </w:p>
        </w:tc>
        <w:tc>
          <w:tcPr>
            <w:tcW w:type="dxa" w:w="2000"/>
            <w:tcBorders>
              <w:top w:val="single" w:color="e8e4dc" w:sz="1"/>
              <w:left w:val="none" w:color="FFFFFF" w:sz="0"/>
              <w:bottom w:val="single" w:color="e8e4dc" w:sz="1"/>
              <w:right w:val="single" w:color="e8e4dc" w:sz="1"/>
            </w:tcBorders>
            <w:tcMar>
              <w:top w:type="dxa" w:w="80"/>
              <w:left w:type="dxa" w:w="120"/>
              <w:bottom w:type="dxa" w:w="80"/>
              <w:right w:type="dxa" w:w="120"/>
            </w:tcMar>
          </w:tcPr>
          <w:p>
            <w:pPr>
              <w:jc w:val="center"/>
            </w:pPr>
            <w:r>
              <w:rPr>
                <w:rFonts w:ascii="Calibri" w:cs="Calibri" w:eastAsia="Calibri" w:hAnsi="Calibri"/>
                <w:b/>
                <w:bCs/>
                <w:color w:val="C9A84C"/>
                <w:sz w:val="24"/>
                <w:szCs w:val="24"/>
              </w:rPr>
              <w:t xml:space="preserve">ΔR² = .08</w:t>
            </w:r>
          </w:p>
        </w:tc>
        <w:tc>
          <w:tcPr>
            <w:tcW w:type="dxa" w:w="4026"/>
            <w:tcBorders>
              <w:top w:val="single" w:color="e8e4dc" w:sz="1"/>
              <w:left w:val="none" w:color="FFFFFF" w:sz="0"/>
              <w:bottom w:val="single" w:color="e8e4dc" w:sz="1"/>
              <w:right w:val="none" w:color="FFFFFF" w:sz="0"/>
            </w:tcBorders>
            <w:tcMar>
              <w:top w:type="dxa" w:w="80"/>
              <w:left w:type="dxa" w:w="120"/>
              <w:bottom w:type="dxa" w:w="80"/>
              <w:right w:type="dxa" w:w="120"/>
            </w:tcMar>
          </w:tcPr>
          <w:p>
            <w:r>
              <w:rPr>
                <w:rFonts w:ascii="Calibri" w:cs="Calibri" w:eastAsia="Calibri" w:hAnsi="Calibri"/>
                <w:i/>
                <w:iCs/>
                <w:color w:val="555555"/>
                <w:sz w:val="18"/>
                <w:szCs w:val="18"/>
              </w:rPr>
              <w:t xml:space="preserve">Harzer et al., 2021: incremental job performance</w:t>
            </w:r>
          </w:p>
        </w:tc>
      </w:tr>
      <w:tr>
        <w:tc>
          <w:tcPr>
            <w:tcW w:type="dxa" w:w="3000"/>
            <w:tcBorders>
              <w:top w:val="single" w:color="e8e4dc" w:sz="1"/>
              <w:left w:val="none" w:color="FFFFFF" w:sz="0"/>
              <w:bottom w:val="single" w:color="e8e4dc" w:sz="1"/>
              <w:right w:val="single" w:color="e8e4dc" w:sz="1"/>
            </w:tcBorders>
            <w:shd w:fill="F5F0E8" w:val="clear"/>
            <w:tcMar>
              <w:top w:type="dxa" w:w="80"/>
              <w:left w:type="dxa" w:w="120"/>
              <w:bottom w:type="dxa" w:w="80"/>
              <w:right w:type="dxa" w:w="120"/>
            </w:tcMar>
          </w:tcPr>
          <w:p>
            <w:r>
              <w:rPr>
                <w:rFonts w:ascii="Calibri" w:cs="Calibri" w:eastAsia="Calibri" w:hAnsi="Calibri"/>
                <w:b/>
                <w:bCs/>
                <w:color w:val="1A3A5C"/>
                <w:sz w:val="20"/>
                <w:szCs w:val="20"/>
              </w:rPr>
              <w:t xml:space="preserve">Cognitive beyond personality</w:t>
            </w:r>
          </w:p>
        </w:tc>
        <w:tc>
          <w:tcPr>
            <w:tcW w:type="dxa" w:w="2000"/>
            <w:tcBorders>
              <w:top w:val="single" w:color="e8e4dc" w:sz="1"/>
              <w:left w:val="none" w:color="FFFFFF" w:sz="0"/>
              <w:bottom w:val="single" w:color="e8e4dc" w:sz="1"/>
              <w:right w:val="single" w:color="e8e4dc" w:sz="1"/>
            </w:tcBorders>
            <w:tcMar>
              <w:top w:type="dxa" w:w="80"/>
              <w:left w:type="dxa" w:w="120"/>
              <w:bottom w:type="dxa" w:w="80"/>
              <w:right w:type="dxa" w:w="120"/>
            </w:tcMar>
          </w:tcPr>
          <w:p>
            <w:pPr>
              <w:jc w:val="center"/>
            </w:pPr>
            <w:r>
              <w:rPr>
                <w:rFonts w:ascii="Calibri" w:cs="Calibri" w:eastAsia="Calibri" w:hAnsi="Calibri"/>
                <w:b/>
                <w:bCs/>
                <w:color w:val="C9A84C"/>
                <w:sz w:val="24"/>
                <w:szCs w:val="24"/>
              </w:rPr>
              <w:t xml:space="preserve">ΔR² = .10</w:t>
            </w:r>
          </w:p>
        </w:tc>
        <w:tc>
          <w:tcPr>
            <w:tcW w:type="dxa" w:w="4026"/>
            <w:tcBorders>
              <w:top w:val="single" w:color="e8e4dc" w:sz="1"/>
              <w:left w:val="none" w:color="FFFFFF" w:sz="0"/>
              <w:bottom w:val="single" w:color="e8e4dc" w:sz="1"/>
              <w:right w:val="none" w:color="FFFFFF" w:sz="0"/>
            </w:tcBorders>
            <w:tcMar>
              <w:top w:type="dxa" w:w="80"/>
              <w:left w:type="dxa" w:w="120"/>
              <w:bottom w:type="dxa" w:w="80"/>
              <w:right w:type="dxa" w:w="120"/>
            </w:tcMar>
          </w:tcPr>
          <w:p>
            <w:r>
              <w:rPr>
                <w:rFonts w:ascii="Calibri" w:cs="Calibri" w:eastAsia="Calibri" w:hAnsi="Calibri"/>
                <w:i/>
                <w:iCs/>
                <w:color w:val="555555"/>
                <w:sz w:val="18"/>
                <w:szCs w:val="18"/>
              </w:rPr>
              <w:t xml:space="preserve">Schmidt &amp; Hunter, 1998: training success</w:t>
            </w:r>
          </w:p>
        </w:tc>
      </w:tr>
    </w:tbl>
    <w:p>
      <w:pPr>
        <w:spacing w:before="160"/>
      </w:pPr>
    </w:p>
    <w:p>
      <w:pPr>
        <w:spacing w:after="60" w:before="60"/>
        <w:jc w:val="left"/>
      </w:pPr>
      <w:r>
        <w:rPr>
          <w:rFonts w:ascii="Calibri" w:cs="Calibri" w:eastAsia="Calibri" w:hAnsi="Calibri"/>
          <w:b w:val="false"/>
          <w:bCs w:val="false"/>
          <w:i w:val="false"/>
          <w:iCs w:val="false"/>
          <w:color w:val="333333"/>
          <w:sz w:val="22"/>
          <w:szCs w:val="22"/>
        </w:rPr>
        <w:t xml:space="preserve">A 2019 multivariate meta-analysis by Hurtado Rúa, Stead and Poklar (k=34 studies, N=19,872) confirmed that personality and interests are "more distinct constructs than previously thought," providing empirical justification for including both in a comprehensive battery. The four-construct battery used by Compass UK aligns with the integrative framework recommended by career assessment scholars (Rounds &amp; Su, 2014) and the O*NET occupational classification system used by the U.S. Department of Labor.</w:t>
      </w:r>
    </w:p>
    <w:p>
      <w:pPr>
        <w:spacing w:after="120" w:before="400"/>
      </w:pPr>
      <w:r>
        <w:rPr>
          <w:rFonts w:ascii="Calibri" w:cs="Calibri" w:eastAsia="Calibri" w:hAnsi="Calibri"/>
          <w:b/>
          <w:bCs/>
          <w:color w:val="1A3A5C"/>
          <w:sz w:val="32"/>
          <w:szCs w:val="32"/>
        </w:rPr>
        <w:t xml:space="preserve">8. Limitations and Professional Disclaimer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9A84C" w:sz="1"/>
              <w:left w:val="single" w:color="C9A84C" w:sz="1"/>
              <w:bottom w:val="single" w:color="C9A84C" w:sz="1"/>
              <w:right w:val="single" w:color="C9A84C" w:sz="1"/>
            </w:tcBorders>
            <w:shd w:fill="FFF8E1" w:val="clear"/>
            <w:tcMar>
              <w:top w:type="dxa" w:w="120"/>
              <w:left w:type="dxa" w:w="200"/>
              <w:bottom w:type="dxa" w:w="120"/>
              <w:right w:type="dxa" w:w="200"/>
            </w:tcMar>
          </w:tcPr>
          <w:p>
            <w:pPr>
              <w:spacing w:after="80" w:before="0"/>
            </w:pPr>
            <w:r>
              <w:rPr>
                <w:rFonts w:ascii="Calibri" w:cs="Calibri" w:eastAsia="Calibri" w:hAnsi="Calibri"/>
                <w:b/>
                <w:bCs/>
                <w:color w:val="1A3A5C"/>
                <w:sz w:val="22"/>
                <w:szCs w:val="22"/>
              </w:rPr>
              <w:t xml:space="preserve">Important Notice</w:t>
            </w:r>
          </w:p>
          <w:p>
            <w:pPr>
              <w:spacing w:after="20" w:before="20"/>
            </w:pPr>
            <w:r>
              <w:rPr>
                <w:rFonts w:ascii="Calibri" w:cs="Calibri" w:eastAsia="Calibri" w:hAnsi="Calibri"/>
                <w:color w:val="333333"/>
                <w:sz w:val="20"/>
                <w:szCs w:val="20"/>
              </w:rPr>
              <w:t xml:space="preserve">1. CAREER GUIDANCE PURPOSE: The Compass UK assessment battery is designed for career guidance</w:t>
            </w:r>
          </w:p>
          <w:p>
            <w:pPr>
              <w:spacing w:after="20" w:before="20"/>
            </w:pPr>
            <w:r>
              <w:rPr>
                <w:rFonts w:ascii="Calibri" w:cs="Calibri" w:eastAsia="Calibri" w:hAnsi="Calibri"/>
                <w:color w:val="333333"/>
                <w:sz w:val="20"/>
                <w:szCs w:val="20"/>
              </w:rPr>
              <w:t xml:space="preserve">   and self-exploration purposes. Results are probabilistic indicators, not definitive prescriptions.</w:t>
            </w:r>
          </w:p>
          <w:p>
            <w:pPr>
              <w:spacing w:after="20" w:before="20"/>
            </w:pPr>
            <w:r>
              <w:rPr>
                <w:rFonts w:ascii="Calibri" w:cs="Calibri" w:eastAsia="Calibri" w:hAnsi="Calibri"/>
                <w:color w:val="333333"/>
                <w:sz w:val="20"/>
                <w:szCs w:val="20"/>
              </w:rPr>
              <w:t xml:space="preserve"/>
            </w:r>
          </w:p>
          <w:p>
            <w:pPr>
              <w:spacing w:after="20" w:before="20"/>
            </w:pPr>
            <w:r>
              <w:rPr>
                <w:rFonts w:ascii="Calibri" w:cs="Calibri" w:eastAsia="Calibri" w:hAnsi="Calibri"/>
                <w:color w:val="333333"/>
                <w:sz w:val="20"/>
                <w:szCs w:val="20"/>
              </w:rPr>
              <w:t xml:space="preserve">2. NOT CLINICAL ASSESSMENT: Compass UK assessments are not psychological diagnoses and should</w:t>
            </w:r>
          </w:p>
          <w:p>
            <w:pPr>
              <w:spacing w:after="20" w:before="20"/>
            </w:pPr>
            <w:r>
              <w:rPr>
                <w:rFonts w:ascii="Calibri" w:cs="Calibri" w:eastAsia="Calibri" w:hAnsi="Calibri"/>
                <w:color w:val="333333"/>
                <w:sz w:val="20"/>
                <w:szCs w:val="20"/>
              </w:rPr>
              <w:t xml:space="preserve">   not be interpreted as clinical evaluations of mental health or cognitive functioning.</w:t>
            </w:r>
          </w:p>
          <w:p>
            <w:pPr>
              <w:spacing w:after="20" w:before="20"/>
            </w:pPr>
            <w:r>
              <w:rPr>
                <w:rFonts w:ascii="Calibri" w:cs="Calibri" w:eastAsia="Calibri" w:hAnsi="Calibri"/>
                <w:color w:val="333333"/>
                <w:sz w:val="20"/>
                <w:szCs w:val="20"/>
              </w:rPr>
              <w:t xml:space="preserve"/>
            </w:r>
          </w:p>
          <w:p>
            <w:pPr>
              <w:spacing w:after="20" w:before="20"/>
            </w:pPr>
            <w:r>
              <w:rPr>
                <w:rFonts w:ascii="Calibri" w:cs="Calibri" w:eastAsia="Calibri" w:hAnsi="Calibri"/>
                <w:color w:val="333333"/>
                <w:sz w:val="20"/>
                <w:szCs w:val="20"/>
              </w:rPr>
              <w:t xml:space="preserve">3. NOT SELECTION TOOL: These assessments are not designed or validated for employment selection</w:t>
            </w:r>
          </w:p>
          <w:p>
            <w:pPr>
              <w:spacing w:after="20" w:before="20"/>
            </w:pPr>
            <w:r>
              <w:rPr>
                <w:rFonts w:ascii="Calibri" w:cs="Calibri" w:eastAsia="Calibri" w:hAnsi="Calibri"/>
                <w:color w:val="333333"/>
                <w:sz w:val="20"/>
                <w:szCs w:val="20"/>
              </w:rPr>
              <w:t xml:space="preserve">   or hiring decisions. Using psychometric data for hiring triggers additional legal obligations</w:t>
            </w:r>
          </w:p>
          <w:p>
            <w:pPr>
              <w:spacing w:after="20" w:before="20"/>
            </w:pPr>
            <w:r>
              <w:rPr>
                <w:rFonts w:ascii="Calibri" w:cs="Calibri" w:eastAsia="Calibri" w:hAnsi="Calibri"/>
                <w:color w:val="333333"/>
                <w:sz w:val="20"/>
                <w:szCs w:val="20"/>
              </w:rPr>
              <w:t xml:space="preserve">   under UK employment law that are beyond the scope of this platform.</w:t>
            </w:r>
          </w:p>
          <w:p>
            <w:pPr>
              <w:spacing w:after="20" w:before="20"/>
            </w:pPr>
            <w:r>
              <w:rPr>
                <w:rFonts w:ascii="Calibri" w:cs="Calibri" w:eastAsia="Calibri" w:hAnsi="Calibri"/>
                <w:color w:val="333333"/>
                <w:sz w:val="20"/>
                <w:szCs w:val="20"/>
              </w:rPr>
              <w:t xml:space="preserve"/>
            </w:r>
          </w:p>
          <w:p>
            <w:pPr>
              <w:spacing w:after="20" w:before="20"/>
            </w:pPr>
            <w:r>
              <w:rPr>
                <w:rFonts w:ascii="Calibri" w:cs="Calibri" w:eastAsia="Calibri" w:hAnsi="Calibri"/>
                <w:color w:val="333333"/>
                <w:sz w:val="20"/>
                <w:szCs w:val="20"/>
              </w:rPr>
              <w:t xml:space="preserve">4. HUMAN INTERPRETATION: Assessment results are always reviewed and discussed with a trained</w:t>
            </w:r>
          </w:p>
          <w:p>
            <w:pPr>
              <w:spacing w:after="20" w:before="20"/>
            </w:pPr>
            <w:r>
              <w:rPr>
                <w:rFonts w:ascii="Calibri" w:cs="Calibri" w:eastAsia="Calibri" w:hAnsi="Calibri"/>
                <w:color w:val="333333"/>
                <w:sz w:val="20"/>
                <w:szCs w:val="20"/>
              </w:rPr>
              <w:t xml:space="preserve">   Compass UK consultant during a one-to-one consultation. Automated scores are starting points</w:t>
            </w:r>
          </w:p>
          <w:p>
            <w:pPr>
              <w:spacing w:after="20" w:before="20"/>
            </w:pPr>
            <w:r>
              <w:rPr>
                <w:rFonts w:ascii="Calibri" w:cs="Calibri" w:eastAsia="Calibri" w:hAnsi="Calibri"/>
                <w:color w:val="333333"/>
                <w:sz w:val="20"/>
                <w:szCs w:val="20"/>
              </w:rPr>
              <w:t xml:space="preserve">   for guided exploration, not standalone conclusions.</w:t>
            </w:r>
          </w:p>
          <w:p>
            <w:pPr>
              <w:spacing w:after="20" w:before="20"/>
            </w:pPr>
            <w:r>
              <w:rPr>
                <w:rFonts w:ascii="Calibri" w:cs="Calibri" w:eastAsia="Calibri" w:hAnsi="Calibri"/>
                <w:color w:val="333333"/>
                <w:sz w:val="20"/>
                <w:szCs w:val="20"/>
              </w:rPr>
              <w:t xml:space="preserve"/>
            </w:r>
          </w:p>
          <w:p>
            <w:pPr>
              <w:spacing w:after="20" w:before="20"/>
            </w:pPr>
            <w:r>
              <w:rPr>
                <w:rFonts w:ascii="Calibri" w:cs="Calibri" w:eastAsia="Calibri" w:hAnsi="Calibri"/>
                <w:color w:val="333333"/>
                <w:sz w:val="20"/>
                <w:szCs w:val="20"/>
              </w:rPr>
              <w:t xml:space="preserve">5. DATA PROTECTION: All assessment data is processed in compliance with UK GDPR and the Data</w:t>
            </w:r>
          </w:p>
          <w:p>
            <w:pPr>
              <w:spacing w:after="20" w:before="20"/>
            </w:pPr>
            <w:r>
              <w:rPr>
                <w:rFonts w:ascii="Calibri" w:cs="Calibri" w:eastAsia="Calibri" w:hAnsi="Calibri"/>
                <w:color w:val="333333"/>
                <w:sz w:val="20"/>
                <w:szCs w:val="20"/>
              </w:rPr>
              <w:t xml:space="preserve">   Protection Act 2018. Compass UK is registered as a Data Controller with the ICO.</w:t>
            </w:r>
          </w:p>
        </w:tc>
      </w:tr>
    </w:tbl>
    <w:p>
      <w:pPr>
        <w:spacing w:before="300"/>
      </w:pPr>
    </w:p>
    <w:p>
      <w:pPr>
        <w:pBdr>
          <w:bottom w:val="single" w:color="C9A84C" w:sz="6" w:space="1"/>
        </w:pBdr>
        <w:spacing w:after="40" w:before="40"/>
      </w:pPr>
    </w:p>
    <w:p>
      <w:pPr>
        <w:spacing w:before="120"/>
        <w:jc w:val="center"/>
      </w:pPr>
      <w:r>
        <w:rPr>
          <w:rFonts w:ascii="Calibri" w:cs="Calibri" w:eastAsia="Calibri" w:hAnsi="Calibri"/>
          <w:color w:val="888888"/>
          <w:sz w:val="18"/>
          <w:szCs w:val="18"/>
        </w:rPr>
        <w:t xml:space="preserve">COMPASS UK  |  NAZAR UK EXPERT CONSULT LTD  |  Company No: 16610948</w:t>
      </w:r>
    </w:p>
    <w:p>
      <w:pPr>
        <w:jc w:val="center"/>
      </w:pPr>
      <w:r>
        <w:rPr>
          <w:rFonts w:ascii="Calibri" w:cs="Calibri" w:eastAsia="Calibri" w:hAnsi="Calibri"/>
          <w:color w:val="888888"/>
          <w:sz w:val="18"/>
          <w:szCs w:val="18"/>
        </w:rPr>
        <w:t xml:space="preserve">Forest House Business Centre, 8 Gainsborough Road, London, E11 1HT  |  info@compassuk.co.uk</w:t>
      </w:r>
    </w:p>
    <w:p>
      <w:pPr>
        <w:jc w:val="center"/>
      </w:pPr>
      <w:r>
        <w:rPr>
          <w:rFonts w:ascii="Calibri" w:cs="Calibri" w:eastAsia="Calibri" w:hAnsi="Calibri"/>
          <w:i/>
          <w:iCs/>
          <w:color w:val="aaaaaa"/>
          <w:sz w:val="16"/>
          <w:szCs w:val="16"/>
        </w:rPr>
        <w:t xml:space="preserve">© 2026 Compass UK. This document is confidential and intended for authorised use only.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2026-06-18T02:46:44.741Z</dcterms:created>
  <dcterms:modified xsi:type="dcterms:W3CDTF">2026-06-18T02:46:44.754Z</dcterms:modified>
</cp:coreProperties>
</file>

<file path=docProps/custom.xml><?xml version="1.0" encoding="utf-8"?>
<Properties xmlns="http://schemas.openxmlformats.org/officeDocument/2006/custom-properties" xmlns:vt="http://schemas.openxmlformats.org/officeDocument/2006/docPropsVTypes"/>
</file>